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91822" w14:textId="69F2120D" w:rsidR="00B70698" w:rsidRPr="00CD43BF" w:rsidRDefault="00953E10" w:rsidP="000F0B03">
      <w:pPr>
        <w:pStyle w:val="TitreArticle"/>
        <w:spacing w:after="160"/>
        <w:rPr>
          <w:caps w:val="0"/>
          <w:smallCaps/>
          <w:sz w:val="28"/>
          <w:lang w:val="en-CA"/>
        </w:rPr>
      </w:pPr>
      <w:r w:rsidRPr="00CD43BF">
        <w:rPr>
          <w:caps w:val="0"/>
          <w:smallCaps/>
          <w:sz w:val="28"/>
          <w:lang w:val="en-CA"/>
        </w:rPr>
        <w:t>Manufacturer</w:t>
      </w:r>
      <w:r w:rsidR="00A75DF2">
        <w:rPr>
          <w:caps w:val="0"/>
          <w:smallCaps/>
          <w:sz w:val="28"/>
          <w:lang w:val="en-CA"/>
        </w:rPr>
        <w:t>s</w:t>
      </w:r>
      <w:r w:rsidRPr="00CD43BF">
        <w:rPr>
          <w:caps w:val="0"/>
          <w:smallCaps/>
          <w:sz w:val="28"/>
          <w:lang w:val="en-CA"/>
        </w:rPr>
        <w:t>’ Sound Data – Application Experiences</w:t>
      </w:r>
    </w:p>
    <w:p w14:paraId="3B6F9151" w14:textId="0CFE765A" w:rsidR="00B70698" w:rsidRPr="00CD43BF" w:rsidRDefault="00953E10" w:rsidP="000F0B03">
      <w:pPr>
        <w:pStyle w:val="Auteurs"/>
        <w:rPr>
          <w:lang w:val="en-CA"/>
        </w:rPr>
      </w:pPr>
      <w:r w:rsidRPr="00CD43BF">
        <w:rPr>
          <w:lang w:val="en-CA"/>
        </w:rPr>
        <w:t>Pier-Gui Lalonde</w:t>
      </w:r>
      <w:r w:rsidR="00B70698" w:rsidRPr="00CD43BF">
        <w:rPr>
          <w:rFonts w:ascii="Monaco" w:hAnsi="Monaco" w:cs="Monaco"/>
          <w:vertAlign w:val="superscript"/>
          <w:lang w:val="en-CA"/>
        </w:rPr>
        <w:t>∗</w:t>
      </w:r>
      <w:r w:rsidR="00B70698" w:rsidRPr="00CD43BF">
        <w:rPr>
          <w:vertAlign w:val="superscript"/>
          <w:lang w:val="en-CA"/>
        </w:rPr>
        <w:t>1</w:t>
      </w:r>
      <w:r w:rsidR="00B70698" w:rsidRPr="00CD43BF">
        <w:rPr>
          <w:lang w:val="en-CA"/>
        </w:rPr>
        <w:t xml:space="preserve"> </w:t>
      </w:r>
      <w:r w:rsidRPr="00CD43BF">
        <w:rPr>
          <w:lang w:val="en-CA"/>
        </w:rPr>
        <w:t>and Gregory E. Clunis</w:t>
      </w:r>
      <w:r w:rsidRPr="00CD43BF">
        <w:rPr>
          <w:vertAlign w:val="superscript"/>
          <w:lang w:val="en-CA"/>
        </w:rPr>
        <w:t>1</w:t>
      </w:r>
    </w:p>
    <w:p w14:paraId="5D6506A5" w14:textId="0883066A" w:rsidR="00B70698" w:rsidRPr="00CD43BF" w:rsidRDefault="00B70698" w:rsidP="00953E10">
      <w:pPr>
        <w:pStyle w:val="Affiliation"/>
        <w:rPr>
          <w:lang w:val="en-CA"/>
        </w:rPr>
      </w:pPr>
      <w:r w:rsidRPr="00CD43BF">
        <w:rPr>
          <w:vertAlign w:val="superscript"/>
          <w:lang w:val="en-CA"/>
        </w:rPr>
        <w:t>1</w:t>
      </w:r>
      <w:r w:rsidR="00953E10" w:rsidRPr="00CD43BF">
        <w:rPr>
          <w:lang w:val="en-CA"/>
        </w:rPr>
        <w:t>Integral DX Engineering, Ottawa, Ontario, Canada</w:t>
      </w:r>
    </w:p>
    <w:p w14:paraId="07BCD33E" w14:textId="77777777" w:rsidR="00B70698" w:rsidRPr="00CD43BF" w:rsidRDefault="00B70698" w:rsidP="000F0B03">
      <w:pPr>
        <w:pStyle w:val="Affiliation"/>
        <w:rPr>
          <w:lang w:val="en-CA"/>
        </w:rPr>
      </w:pPr>
    </w:p>
    <w:p w14:paraId="1C9ECDCB" w14:textId="77777777" w:rsidR="00B70698" w:rsidRPr="00CD43BF" w:rsidRDefault="00B70698" w:rsidP="000F0B03">
      <w:pPr>
        <w:rPr>
          <w:lang w:val="en-CA"/>
        </w:rPr>
        <w:sectPr w:rsidR="00B70698" w:rsidRPr="00CD43BF" w:rsidSect="00B70698">
          <w:footerReference w:type="even" r:id="rId8"/>
          <w:footerReference w:type="default" r:id="rId9"/>
          <w:pgSz w:w="12240" w:h="15840"/>
          <w:pgMar w:top="1080" w:right="1080" w:bottom="1080" w:left="1080" w:header="720" w:footer="720" w:gutter="0"/>
          <w:cols w:space="720"/>
        </w:sectPr>
      </w:pPr>
    </w:p>
    <w:p w14:paraId="1349A5F0" w14:textId="77777777" w:rsidR="00B70698" w:rsidRPr="00CD43BF" w:rsidRDefault="00B70698" w:rsidP="000F0B03">
      <w:pPr>
        <w:pStyle w:val="JCAAsection1"/>
        <w:rPr>
          <w:lang w:val="en-CA"/>
        </w:rPr>
      </w:pPr>
      <w:r w:rsidRPr="00CD43BF">
        <w:rPr>
          <w:lang w:val="en-CA"/>
        </w:rPr>
        <w:t>Introduction</w:t>
      </w:r>
    </w:p>
    <w:p w14:paraId="372DA60A" w14:textId="6188EE8C" w:rsidR="00CD43BF" w:rsidRPr="00CD43BF" w:rsidRDefault="00CD43BF" w:rsidP="00831386">
      <w:pPr>
        <w:pStyle w:val="CorpsdeTexte-1"/>
        <w:rPr>
          <w:lang w:val="en-CA"/>
        </w:rPr>
      </w:pPr>
      <w:r w:rsidRPr="00CD43BF">
        <w:rPr>
          <w:lang w:val="en-CA"/>
        </w:rPr>
        <w:t>In</w:t>
      </w:r>
      <w:r w:rsidR="00526B52">
        <w:rPr>
          <w:lang w:val="en-CA"/>
        </w:rPr>
        <w:t xml:space="preserve"> our practice we are regularly asked to validate environmental noise impacts at noise-sensitive receptors, due to proposed new noise-generating equipment. </w:t>
      </w:r>
      <w:r w:rsidR="0034447E">
        <w:rPr>
          <w:lang w:val="en-CA"/>
        </w:rPr>
        <w:t>Following validation, we are frequently able to perform sound pressure level measurements of the installed equipment</w:t>
      </w:r>
      <w:r w:rsidR="00363677">
        <w:rPr>
          <w:lang w:val="en-CA"/>
        </w:rPr>
        <w:t>, as a commissioning activity</w:t>
      </w:r>
      <w:r w:rsidR="0034447E">
        <w:rPr>
          <w:lang w:val="en-CA"/>
        </w:rPr>
        <w:t>. This paper provides an overview and discussion of the practical challenges at each</w:t>
      </w:r>
      <w:r w:rsidR="00A75DF2">
        <w:rPr>
          <w:lang w:val="en-CA"/>
        </w:rPr>
        <w:t xml:space="preserve"> step</w:t>
      </w:r>
      <w:r w:rsidR="0034447E">
        <w:rPr>
          <w:lang w:val="en-CA"/>
        </w:rPr>
        <w:t xml:space="preserve"> of the validation and </w:t>
      </w:r>
      <w:r w:rsidR="00363677">
        <w:rPr>
          <w:lang w:val="en-CA"/>
        </w:rPr>
        <w:t xml:space="preserve">commissioning </w:t>
      </w:r>
      <w:r w:rsidR="0034447E">
        <w:rPr>
          <w:lang w:val="en-CA"/>
        </w:rPr>
        <w:t>processes</w:t>
      </w:r>
      <w:r w:rsidR="00A75DF2">
        <w:rPr>
          <w:lang w:val="en-CA"/>
        </w:rPr>
        <w:t>:</w:t>
      </w:r>
      <w:r w:rsidR="006E379D">
        <w:rPr>
          <w:lang w:val="en-CA"/>
        </w:rPr>
        <w:t xml:space="preserve"> </w:t>
      </w:r>
      <w:r w:rsidR="00EC46CA">
        <w:rPr>
          <w:lang w:val="en-CA"/>
        </w:rPr>
        <w:t>input</w:t>
      </w:r>
      <w:r w:rsidR="006E379D">
        <w:rPr>
          <w:lang w:val="en-CA"/>
        </w:rPr>
        <w:t xml:space="preserve"> manufacturer sound data</w:t>
      </w:r>
      <w:r w:rsidR="00F12425">
        <w:rPr>
          <w:lang w:val="en-CA"/>
        </w:rPr>
        <w:t>;</w:t>
      </w:r>
      <w:r w:rsidR="006E379D">
        <w:rPr>
          <w:lang w:val="en-CA"/>
        </w:rPr>
        <w:t xml:space="preserve"> field measurements</w:t>
      </w:r>
      <w:r w:rsidR="00F12425">
        <w:rPr>
          <w:lang w:val="en-CA"/>
        </w:rPr>
        <w:t>;</w:t>
      </w:r>
      <w:r w:rsidR="006E379D">
        <w:rPr>
          <w:lang w:val="en-CA"/>
        </w:rPr>
        <w:t xml:space="preserve"> and use of acoustic modelling software</w:t>
      </w:r>
      <w:r w:rsidR="0034447E">
        <w:rPr>
          <w:lang w:val="en-CA"/>
        </w:rPr>
        <w:t xml:space="preserve">. </w:t>
      </w:r>
      <w:r w:rsidR="00A75DF2">
        <w:rPr>
          <w:lang w:val="en-CA"/>
        </w:rPr>
        <w:t>Finally</w:t>
      </w:r>
      <w:r w:rsidR="00AE66C9">
        <w:rPr>
          <w:lang w:val="en-CA"/>
        </w:rPr>
        <w:t>,</w:t>
      </w:r>
      <w:r w:rsidR="006E379D">
        <w:rPr>
          <w:lang w:val="en-CA"/>
        </w:rPr>
        <w:t xml:space="preserve"> manufacturer</w:t>
      </w:r>
      <w:r w:rsidR="00AE66C9">
        <w:rPr>
          <w:lang w:val="en-CA"/>
        </w:rPr>
        <w:t xml:space="preserve"> equipment sound power levels </w:t>
      </w:r>
      <w:r w:rsidR="00363677">
        <w:rPr>
          <w:lang w:val="en-CA"/>
        </w:rPr>
        <w:t>a</w:t>
      </w:r>
      <w:r w:rsidR="006E379D">
        <w:rPr>
          <w:lang w:val="en-CA"/>
        </w:rPr>
        <w:t>re</w:t>
      </w:r>
      <w:r w:rsidR="00363677">
        <w:rPr>
          <w:lang w:val="en-CA"/>
        </w:rPr>
        <w:t xml:space="preserve"> </w:t>
      </w:r>
      <w:r w:rsidR="00AE66C9">
        <w:rPr>
          <w:lang w:val="en-CA"/>
        </w:rPr>
        <w:t xml:space="preserve">compared to those calculated from </w:t>
      </w:r>
      <w:r w:rsidR="00363677">
        <w:rPr>
          <w:lang w:val="en-CA"/>
        </w:rPr>
        <w:t xml:space="preserve">commissioning </w:t>
      </w:r>
      <w:r w:rsidR="00AE66C9">
        <w:rPr>
          <w:lang w:val="en-CA"/>
        </w:rPr>
        <w:t>measurements</w:t>
      </w:r>
      <w:r w:rsidR="0034447E">
        <w:rPr>
          <w:lang w:val="en-CA"/>
        </w:rPr>
        <w:t>.</w:t>
      </w:r>
    </w:p>
    <w:p w14:paraId="6E421B60" w14:textId="09D37B5E" w:rsidR="00B70698" w:rsidRPr="00CD43BF" w:rsidRDefault="00B70698" w:rsidP="00CD43BF">
      <w:pPr>
        <w:pStyle w:val="CorpsdeTexte-2"/>
        <w:ind w:firstLine="0"/>
        <w:rPr>
          <w:lang w:val="en-CA"/>
        </w:rPr>
      </w:pPr>
    </w:p>
    <w:p w14:paraId="792134D9" w14:textId="591FA3F7" w:rsidR="00B70698" w:rsidRDefault="00CD43BF" w:rsidP="000F0B03">
      <w:pPr>
        <w:pStyle w:val="JCAAsection1"/>
        <w:rPr>
          <w:lang w:val="en-CA"/>
        </w:rPr>
      </w:pPr>
      <w:r w:rsidRPr="00CD43BF">
        <w:rPr>
          <w:lang w:val="en-CA"/>
        </w:rPr>
        <w:t>Sound Data from Manufacturers</w:t>
      </w:r>
    </w:p>
    <w:p w14:paraId="10BE485F" w14:textId="30EA792F" w:rsidR="00CD43BF" w:rsidRDefault="00CD43BF" w:rsidP="00CD43BF">
      <w:pPr>
        <w:pStyle w:val="CorpsdeTexte-1"/>
        <w:rPr>
          <w:lang w:val="en-CA"/>
        </w:rPr>
      </w:pPr>
      <w:r>
        <w:rPr>
          <w:lang w:val="en-CA"/>
        </w:rPr>
        <w:t>The quality of noise emissions data available from manufacturers of outdoor equipment varies significantly between manufacturers and equipment</w:t>
      </w:r>
      <w:r w:rsidR="00EC46CA">
        <w:rPr>
          <w:lang w:val="en-CA"/>
        </w:rPr>
        <w:t xml:space="preserve"> models</w:t>
      </w:r>
      <w:r>
        <w:rPr>
          <w:lang w:val="en-CA"/>
        </w:rPr>
        <w:t xml:space="preserve">. While claims of “quiet” or “low noise” performance are commonly found in marketing materials, it is not always the case that noise emissions data </w:t>
      </w:r>
      <w:r w:rsidR="00A75DF2">
        <w:rPr>
          <w:lang w:val="en-CA"/>
        </w:rPr>
        <w:t>are</w:t>
      </w:r>
      <w:r>
        <w:rPr>
          <w:lang w:val="en-CA"/>
        </w:rPr>
        <w:t xml:space="preserve"> available to back up those claims. </w:t>
      </w:r>
    </w:p>
    <w:p w14:paraId="7702332B" w14:textId="5C7C4BFC" w:rsidR="00AA14F3" w:rsidRDefault="00CD3B21" w:rsidP="00AA14F3">
      <w:pPr>
        <w:pStyle w:val="CorpsdeTexte-2"/>
        <w:rPr>
          <w:lang w:val="en-CA"/>
        </w:rPr>
      </w:pPr>
      <w:r>
        <w:rPr>
          <w:lang w:val="en-CA"/>
        </w:rPr>
        <w:t>Equipment manufacturers can obtain h</w:t>
      </w:r>
      <w:r w:rsidR="00AA14F3">
        <w:rPr>
          <w:lang w:val="en-CA"/>
        </w:rPr>
        <w:t xml:space="preserve">igh quality </w:t>
      </w:r>
      <w:r>
        <w:rPr>
          <w:lang w:val="en-CA"/>
        </w:rPr>
        <w:t xml:space="preserve">environmental </w:t>
      </w:r>
      <w:r w:rsidR="00AA14F3">
        <w:rPr>
          <w:lang w:val="en-CA"/>
        </w:rPr>
        <w:t xml:space="preserve">noise </w:t>
      </w:r>
      <w:r>
        <w:rPr>
          <w:lang w:val="en-CA"/>
        </w:rPr>
        <w:t xml:space="preserve">emissions data by </w:t>
      </w:r>
      <w:r w:rsidR="00AA14F3">
        <w:rPr>
          <w:lang w:val="en-CA"/>
        </w:rPr>
        <w:t>following a</w:t>
      </w:r>
      <w:r>
        <w:rPr>
          <w:lang w:val="en-CA"/>
        </w:rPr>
        <w:t xml:space="preserve">n industry </w:t>
      </w:r>
      <w:r w:rsidR="00AA14F3">
        <w:rPr>
          <w:lang w:val="en-CA"/>
        </w:rPr>
        <w:t>standard such as ISO 3744[1]</w:t>
      </w:r>
      <w:r>
        <w:rPr>
          <w:lang w:val="en-CA"/>
        </w:rPr>
        <w:t xml:space="preserve"> or AHRI 270[2]</w:t>
      </w:r>
      <w:r w:rsidR="00AA14F3">
        <w:rPr>
          <w:lang w:val="en-CA"/>
        </w:rPr>
        <w:t>. Th</w:t>
      </w:r>
      <w:r>
        <w:rPr>
          <w:lang w:val="en-CA"/>
        </w:rPr>
        <w:t xml:space="preserve">e </w:t>
      </w:r>
      <w:r w:rsidR="005A724D">
        <w:rPr>
          <w:lang w:val="en-CA"/>
        </w:rPr>
        <w:t xml:space="preserve">process of then incorporating the </w:t>
      </w:r>
      <w:r>
        <w:rPr>
          <w:lang w:val="en-CA"/>
        </w:rPr>
        <w:t>resulting</w:t>
      </w:r>
      <w:r w:rsidR="00AA14F3">
        <w:rPr>
          <w:lang w:val="en-CA"/>
        </w:rPr>
        <w:t xml:space="preserve"> </w:t>
      </w:r>
      <w:r>
        <w:rPr>
          <w:lang w:val="en-CA"/>
        </w:rPr>
        <w:t xml:space="preserve">octave band (or one-third octave band) sound power levels </w:t>
      </w:r>
      <w:r w:rsidR="005A724D">
        <w:rPr>
          <w:lang w:val="en-CA"/>
        </w:rPr>
        <w:t xml:space="preserve">into </w:t>
      </w:r>
      <w:r w:rsidR="00AA14F3">
        <w:rPr>
          <w:lang w:val="en-CA"/>
        </w:rPr>
        <w:t>environmental noise modelling software</w:t>
      </w:r>
      <w:r w:rsidR="005A724D">
        <w:rPr>
          <w:lang w:val="en-CA"/>
        </w:rPr>
        <w:t xml:space="preserve"> is straightforward</w:t>
      </w:r>
      <w:r w:rsidR="00AA14F3">
        <w:rPr>
          <w:lang w:val="en-CA"/>
        </w:rPr>
        <w:t>.</w:t>
      </w:r>
    </w:p>
    <w:p w14:paraId="576360E2" w14:textId="5D346C6A" w:rsidR="005A724D" w:rsidRDefault="005A724D" w:rsidP="00AA14F3">
      <w:pPr>
        <w:pStyle w:val="CorpsdeTexte-2"/>
        <w:rPr>
          <w:lang w:val="en-CA"/>
        </w:rPr>
      </w:pPr>
      <w:r>
        <w:rPr>
          <w:lang w:val="en-CA"/>
        </w:rPr>
        <w:t xml:space="preserve">Noise data </w:t>
      </w:r>
      <w:r w:rsidR="00A75DF2">
        <w:rPr>
          <w:lang w:val="en-CA"/>
        </w:rPr>
        <w:t>are</w:t>
      </w:r>
      <w:r>
        <w:rPr>
          <w:lang w:val="en-CA"/>
        </w:rPr>
        <w:t xml:space="preserve"> often provided as sound pressure level</w:t>
      </w:r>
      <w:r w:rsidR="006E379D">
        <w:rPr>
          <w:lang w:val="en-CA"/>
        </w:rPr>
        <w:t>s</w:t>
      </w:r>
      <w:r>
        <w:rPr>
          <w:lang w:val="en-CA"/>
        </w:rPr>
        <w:t xml:space="preserve"> measured at one or more </w:t>
      </w:r>
      <w:r w:rsidR="00EC46CA">
        <w:rPr>
          <w:lang w:val="en-CA"/>
        </w:rPr>
        <w:t xml:space="preserve">defined positions </w:t>
      </w:r>
      <w:r>
        <w:rPr>
          <w:lang w:val="en-CA"/>
        </w:rPr>
        <w:t>around the equipment. Additional calculations are then needed to determine the sound power level. Typically, there are fewer measurement points than would be required per the above-noted standards.</w:t>
      </w:r>
    </w:p>
    <w:p w14:paraId="6CB5F7F4" w14:textId="724FF7CB" w:rsidR="005A724D" w:rsidRDefault="005A724D" w:rsidP="00AA14F3">
      <w:pPr>
        <w:pStyle w:val="CorpsdeTexte-2"/>
        <w:rPr>
          <w:lang w:val="en-CA"/>
        </w:rPr>
      </w:pPr>
      <w:r>
        <w:rPr>
          <w:lang w:val="en-CA"/>
        </w:rPr>
        <w:t xml:space="preserve">In some cases, </w:t>
      </w:r>
      <w:r w:rsidR="00CE7CCF">
        <w:rPr>
          <w:lang w:val="en-CA"/>
        </w:rPr>
        <w:t xml:space="preserve">noise data </w:t>
      </w:r>
      <w:r w:rsidR="00A75DF2">
        <w:rPr>
          <w:lang w:val="en-CA"/>
        </w:rPr>
        <w:t>are</w:t>
      </w:r>
      <w:r w:rsidR="00CE7CCF">
        <w:rPr>
          <w:lang w:val="en-CA"/>
        </w:rPr>
        <w:t xml:space="preserve"> not available for the proposed equipment</w:t>
      </w:r>
      <w:r w:rsidR="00E357DF">
        <w:rPr>
          <w:lang w:val="en-CA"/>
        </w:rPr>
        <w:t xml:space="preserve"> as a whole</w:t>
      </w:r>
      <w:r w:rsidR="00CE7CCF">
        <w:rPr>
          <w:lang w:val="en-CA"/>
        </w:rPr>
        <w:t xml:space="preserve">, but data </w:t>
      </w:r>
      <w:r w:rsidR="00A75DF2">
        <w:rPr>
          <w:lang w:val="en-CA"/>
        </w:rPr>
        <w:t>are</w:t>
      </w:r>
      <w:r w:rsidR="00CE7CCF">
        <w:rPr>
          <w:lang w:val="en-CA"/>
        </w:rPr>
        <w:t xml:space="preserve"> available for</w:t>
      </w:r>
      <w:r w:rsidR="005B4F05">
        <w:rPr>
          <w:lang w:val="en-CA"/>
        </w:rPr>
        <w:t xml:space="preserve"> its</w:t>
      </w:r>
      <w:r w:rsidR="00CE7CCF">
        <w:rPr>
          <w:lang w:val="en-CA"/>
        </w:rPr>
        <w:t xml:space="preserve"> individual noise-generating components, such as condenser fans, blowers, and compressors. The resulting sound power radiated to the outdoor environment will take several paths (</w:t>
      </w:r>
      <w:r w:rsidR="00AE66C9">
        <w:rPr>
          <w:lang w:val="en-CA"/>
        </w:rPr>
        <w:t xml:space="preserve">including </w:t>
      </w:r>
      <w:r w:rsidR="00CE7CCF">
        <w:rPr>
          <w:lang w:val="en-CA"/>
        </w:rPr>
        <w:t>intake/exhaust openings, cabinet breakout noise</w:t>
      </w:r>
      <w:r w:rsidR="00AE66C9">
        <w:rPr>
          <w:lang w:val="en-CA"/>
        </w:rPr>
        <w:t xml:space="preserve">, or the direct path for </w:t>
      </w:r>
      <w:r w:rsidR="006E379D">
        <w:rPr>
          <w:lang w:val="en-CA"/>
        </w:rPr>
        <w:t xml:space="preserve">condenser </w:t>
      </w:r>
      <w:r w:rsidR="00AE66C9">
        <w:rPr>
          <w:lang w:val="en-CA"/>
        </w:rPr>
        <w:t>fans</w:t>
      </w:r>
      <w:r w:rsidR="00CE7CCF">
        <w:rPr>
          <w:lang w:val="en-CA"/>
        </w:rPr>
        <w:t>). The total radiated sound power calculation becomes complex with significant uncertainties, and thus can only be considered an estimate.</w:t>
      </w:r>
    </w:p>
    <w:p w14:paraId="6ABA4A29" w14:textId="2AC980EF" w:rsidR="00525495" w:rsidRDefault="00525495" w:rsidP="00525495">
      <w:pPr>
        <w:pStyle w:val="CorpsdeTexte-2"/>
        <w:rPr>
          <w:lang w:val="en-CA"/>
        </w:rPr>
      </w:pPr>
      <w:r>
        <w:rPr>
          <w:lang w:val="en-CA"/>
        </w:rPr>
        <w:t xml:space="preserve">Packaged </w:t>
      </w:r>
      <w:r w:rsidR="006E379D">
        <w:rPr>
          <w:lang w:val="en-CA"/>
        </w:rPr>
        <w:t xml:space="preserve">HVAC </w:t>
      </w:r>
      <w:r>
        <w:rPr>
          <w:lang w:val="en-CA"/>
        </w:rPr>
        <w:t>equipment which may operate in several different modes (e.g</w:t>
      </w:r>
      <w:r w:rsidR="00F258CB">
        <w:rPr>
          <w:lang w:val="en-CA"/>
        </w:rPr>
        <w:t>.</w:t>
      </w:r>
      <w:r>
        <w:rPr>
          <w:lang w:val="en-CA"/>
        </w:rPr>
        <w:t xml:space="preserve"> providing both heating and cooling) </w:t>
      </w:r>
      <w:r w:rsidR="00F258CB">
        <w:rPr>
          <w:lang w:val="en-CA"/>
        </w:rPr>
        <w:t xml:space="preserve">add </w:t>
      </w:r>
      <w:r>
        <w:rPr>
          <w:lang w:val="en-CA"/>
        </w:rPr>
        <w:t>further complicat</w:t>
      </w:r>
      <w:r w:rsidR="00F258CB">
        <w:rPr>
          <w:lang w:val="en-CA"/>
        </w:rPr>
        <w:t>ions to</w:t>
      </w:r>
      <w:r>
        <w:rPr>
          <w:lang w:val="en-CA"/>
        </w:rPr>
        <w:t xml:space="preserve"> the application of manufacturer sound level data, as the operating conditions represented by the data are not always clarified. A further challenge occurs when key information</w:t>
      </w:r>
      <w:r w:rsidR="00426780">
        <w:rPr>
          <w:lang w:val="en-CA"/>
        </w:rPr>
        <w:t xml:space="preserve"> are missing,</w:t>
      </w:r>
      <w:r>
        <w:rPr>
          <w:lang w:val="en-CA"/>
        </w:rPr>
        <w:t xml:space="preserve"> such as the type of data (sound power or sound pressure), whether the </w:t>
      </w:r>
      <w:r>
        <w:rPr>
          <w:lang w:val="en-CA"/>
        </w:rPr>
        <w:t xml:space="preserve">data </w:t>
      </w:r>
      <w:r w:rsidR="00A75DF2">
        <w:rPr>
          <w:lang w:val="en-CA"/>
        </w:rPr>
        <w:t>are</w:t>
      </w:r>
      <w:r>
        <w:rPr>
          <w:lang w:val="en-CA"/>
        </w:rPr>
        <w:t xml:space="preserve"> A-weighted, or the distance and spreading conditions of sound pressure level </w:t>
      </w:r>
      <w:r w:rsidR="00A75DF2">
        <w:rPr>
          <w:lang w:val="en-CA"/>
        </w:rPr>
        <w:t>measurements</w:t>
      </w:r>
      <w:r>
        <w:rPr>
          <w:lang w:val="en-CA"/>
        </w:rPr>
        <w:t xml:space="preserve">. This is especially common when the data </w:t>
      </w:r>
      <w:r w:rsidR="00A75DF2">
        <w:rPr>
          <w:lang w:val="en-CA"/>
        </w:rPr>
        <w:t>are</w:t>
      </w:r>
      <w:r>
        <w:rPr>
          <w:lang w:val="en-CA"/>
        </w:rPr>
        <w:t xml:space="preserve"> provided by</w:t>
      </w:r>
      <w:r w:rsidR="005518CD">
        <w:rPr>
          <w:lang w:val="en-CA"/>
        </w:rPr>
        <w:t xml:space="preserve"> </w:t>
      </w:r>
      <w:r w:rsidR="00A75DF2">
        <w:rPr>
          <w:lang w:val="en-CA"/>
        </w:rPr>
        <w:t xml:space="preserve">a </w:t>
      </w:r>
      <w:r w:rsidR="00AE66C9">
        <w:rPr>
          <w:lang w:val="en-CA"/>
        </w:rPr>
        <w:t>third-party</w:t>
      </w:r>
      <w:r>
        <w:rPr>
          <w:lang w:val="en-CA"/>
        </w:rPr>
        <w:t xml:space="preserve"> vendor rather than the manufacturer – vendors may not </w:t>
      </w:r>
      <w:r w:rsidR="00AE66C9">
        <w:rPr>
          <w:lang w:val="en-CA"/>
        </w:rPr>
        <w:t xml:space="preserve">accurately </w:t>
      </w:r>
      <w:r>
        <w:rPr>
          <w:lang w:val="en-CA"/>
        </w:rPr>
        <w:t xml:space="preserve">replicate </w:t>
      </w:r>
      <w:r w:rsidR="00AE66C9">
        <w:rPr>
          <w:lang w:val="en-CA"/>
        </w:rPr>
        <w:t xml:space="preserve">all </w:t>
      </w:r>
      <w:r w:rsidR="005518CD">
        <w:rPr>
          <w:lang w:val="en-CA"/>
        </w:rPr>
        <w:t xml:space="preserve">relevant sound </w:t>
      </w:r>
      <w:r>
        <w:rPr>
          <w:lang w:val="en-CA"/>
        </w:rPr>
        <w:t xml:space="preserve">information into their documentation. </w:t>
      </w:r>
    </w:p>
    <w:p w14:paraId="5CD26512" w14:textId="77777777" w:rsidR="00CE7CCF" w:rsidRDefault="00CE7CCF" w:rsidP="00AA14F3">
      <w:pPr>
        <w:pStyle w:val="CorpsdeTexte-2"/>
        <w:rPr>
          <w:lang w:val="en-CA"/>
        </w:rPr>
      </w:pPr>
    </w:p>
    <w:p w14:paraId="28AB3BB8" w14:textId="1C5005A2" w:rsidR="00CE7CCF" w:rsidRDefault="00CE7CCF" w:rsidP="00CE7CCF">
      <w:pPr>
        <w:pStyle w:val="JCAAsection1"/>
        <w:rPr>
          <w:lang w:val="en-CA"/>
        </w:rPr>
      </w:pPr>
      <w:r>
        <w:rPr>
          <w:lang w:val="en-CA"/>
        </w:rPr>
        <w:t>Field Measurements</w:t>
      </w:r>
    </w:p>
    <w:p w14:paraId="10B40D53" w14:textId="48821399" w:rsidR="00CD3B21" w:rsidRDefault="00CE7CCF" w:rsidP="00CE7CCF">
      <w:pPr>
        <w:pStyle w:val="CorpsdeTexte-1"/>
        <w:rPr>
          <w:lang w:val="en-CA"/>
        </w:rPr>
      </w:pPr>
      <w:r>
        <w:rPr>
          <w:lang w:val="en-CA"/>
        </w:rPr>
        <w:t xml:space="preserve">Field measurements provide significant value in terms of </w:t>
      </w:r>
      <w:r w:rsidR="00F258CB">
        <w:rPr>
          <w:lang w:val="en-CA"/>
        </w:rPr>
        <w:t>verifying whether</w:t>
      </w:r>
      <w:r w:rsidR="006E379D">
        <w:rPr>
          <w:lang w:val="en-CA"/>
        </w:rPr>
        <w:t xml:space="preserve"> newly</w:t>
      </w:r>
      <w:r w:rsidR="0089240E">
        <w:rPr>
          <w:lang w:val="en-CA"/>
        </w:rPr>
        <w:t xml:space="preserve"> </w:t>
      </w:r>
      <w:r w:rsidR="006E379D">
        <w:rPr>
          <w:lang w:val="en-CA"/>
        </w:rPr>
        <w:t xml:space="preserve">installed equipment </w:t>
      </w:r>
      <w:r w:rsidR="00F258CB">
        <w:rPr>
          <w:lang w:val="en-CA"/>
        </w:rPr>
        <w:t>produce</w:t>
      </w:r>
      <w:r>
        <w:rPr>
          <w:lang w:val="en-CA"/>
        </w:rPr>
        <w:t xml:space="preserve"> the expected level of noise. Significant challenges are nonetheless encountered.</w:t>
      </w:r>
    </w:p>
    <w:p w14:paraId="210D6131" w14:textId="315C7D37" w:rsidR="00EB350F" w:rsidRDefault="00CE7CCF" w:rsidP="00CE7CCF">
      <w:pPr>
        <w:pStyle w:val="CorpsdeTexte-2"/>
        <w:rPr>
          <w:lang w:val="en-CA"/>
        </w:rPr>
      </w:pPr>
      <w:r>
        <w:rPr>
          <w:lang w:val="en-CA"/>
        </w:rPr>
        <w:t>An ideal case would be to measure equipment</w:t>
      </w:r>
      <w:r w:rsidR="006E379D">
        <w:rPr>
          <w:lang w:val="en-CA"/>
        </w:rPr>
        <w:t xml:space="preserve"> noise</w:t>
      </w:r>
      <w:r>
        <w:rPr>
          <w:lang w:val="en-CA"/>
        </w:rPr>
        <w:t xml:space="preserve"> in accordance with ISO 3744</w:t>
      </w:r>
      <w:r w:rsidR="00384390">
        <w:rPr>
          <w:lang w:val="en-CA"/>
        </w:rPr>
        <w:t>, which would produce one-third-octave</w:t>
      </w:r>
      <w:r w:rsidR="0089240E">
        <w:rPr>
          <w:lang w:val="en-CA"/>
        </w:rPr>
        <w:t xml:space="preserve"> band</w:t>
      </w:r>
      <w:r w:rsidR="00384390">
        <w:rPr>
          <w:lang w:val="en-CA"/>
        </w:rPr>
        <w:t xml:space="preserve"> sound power levels complete with directivity </w:t>
      </w:r>
      <w:r w:rsidR="006E379D">
        <w:rPr>
          <w:lang w:val="en-CA"/>
        </w:rPr>
        <w:t>information</w:t>
      </w:r>
      <w:r w:rsidR="00384390">
        <w:rPr>
          <w:lang w:val="en-CA"/>
        </w:rPr>
        <w:t xml:space="preserve">. In practice, these measurements are time-consuming, and </w:t>
      </w:r>
      <w:r w:rsidR="00F12425">
        <w:rPr>
          <w:lang w:val="en-CA"/>
        </w:rPr>
        <w:t>c</w:t>
      </w:r>
      <w:r w:rsidR="00384390">
        <w:rPr>
          <w:lang w:val="en-CA"/>
        </w:rPr>
        <w:t xml:space="preserve">ould be significantly impacted by background noise. In fact, background noise is a primary limitation for field measurement of outdoor equipment. </w:t>
      </w:r>
      <w:r w:rsidR="006E379D">
        <w:rPr>
          <w:lang w:val="en-CA"/>
        </w:rPr>
        <w:t>Typical sources of background</w:t>
      </w:r>
      <w:r w:rsidR="00F258CB">
        <w:rPr>
          <w:lang w:val="en-CA"/>
        </w:rPr>
        <w:t xml:space="preserve"> include</w:t>
      </w:r>
      <w:r w:rsidR="006E379D">
        <w:rPr>
          <w:lang w:val="en-CA"/>
        </w:rPr>
        <w:t xml:space="preserve"> other equipment and transportation sources</w:t>
      </w:r>
      <w:r w:rsidR="00F258CB">
        <w:rPr>
          <w:lang w:val="en-CA"/>
        </w:rPr>
        <w:t xml:space="preserve"> (surface and airborne)</w:t>
      </w:r>
      <w:r w:rsidR="006E379D">
        <w:rPr>
          <w:lang w:val="en-CA"/>
        </w:rPr>
        <w:t>.</w:t>
      </w:r>
    </w:p>
    <w:p w14:paraId="165FF755" w14:textId="6910D317" w:rsidR="00B72E0E" w:rsidRDefault="00886BF0" w:rsidP="00831386">
      <w:pPr>
        <w:pStyle w:val="CorpsdeTexte-2"/>
        <w:rPr>
          <w:lang w:val="en-CA"/>
        </w:rPr>
      </w:pPr>
      <w:r>
        <w:rPr>
          <w:lang w:val="en-CA"/>
        </w:rPr>
        <w:t>We use multiple strategies to deal with the challenge of background noise. Often, other nearby equipment must be turned off</w:t>
      </w:r>
      <w:r w:rsidR="00EB350F">
        <w:rPr>
          <w:lang w:val="en-CA"/>
        </w:rPr>
        <w:t>, which can require significant coordination for manufacturing facilities with many outdoor noise sources and full-time production requirements</w:t>
      </w:r>
      <w:r>
        <w:rPr>
          <w:lang w:val="en-CA"/>
        </w:rPr>
        <w:t xml:space="preserve">. In some cases, background noise levels </w:t>
      </w:r>
      <w:r w:rsidR="00F12425">
        <w:rPr>
          <w:lang w:val="en-CA"/>
        </w:rPr>
        <w:t xml:space="preserve">can be </w:t>
      </w:r>
      <w:r>
        <w:rPr>
          <w:lang w:val="en-CA"/>
        </w:rPr>
        <w:t xml:space="preserve">measured separately, </w:t>
      </w:r>
      <w:r w:rsidR="00B72E0E">
        <w:rPr>
          <w:lang w:val="en-CA"/>
        </w:rPr>
        <w:t xml:space="preserve">allowing </w:t>
      </w:r>
      <w:r>
        <w:rPr>
          <w:lang w:val="en-CA"/>
        </w:rPr>
        <w:t xml:space="preserve">the source measurements </w:t>
      </w:r>
      <w:r w:rsidR="00B72E0E">
        <w:rPr>
          <w:lang w:val="en-CA"/>
        </w:rPr>
        <w:t xml:space="preserve">to be </w:t>
      </w:r>
      <w:r>
        <w:rPr>
          <w:lang w:val="en-CA"/>
        </w:rPr>
        <w:t xml:space="preserve">adjusted accordingly. Finally, we </w:t>
      </w:r>
      <w:r w:rsidR="00B72E0E">
        <w:rPr>
          <w:lang w:val="en-CA"/>
        </w:rPr>
        <w:t xml:space="preserve">typically take measurements at relatively short distances from noise sources, </w:t>
      </w:r>
      <w:r w:rsidR="00EB350F">
        <w:rPr>
          <w:lang w:val="en-CA"/>
        </w:rPr>
        <w:t xml:space="preserve">to maximize </w:t>
      </w:r>
      <w:r w:rsidR="00B72E0E">
        <w:rPr>
          <w:lang w:val="en-CA"/>
        </w:rPr>
        <w:t xml:space="preserve">the signal-to-noise ratio for the source we are measuring. </w:t>
      </w:r>
      <w:r>
        <w:rPr>
          <w:lang w:val="en-CA"/>
        </w:rPr>
        <w:t xml:space="preserve">For packaged HVAC equipment, </w:t>
      </w:r>
      <w:r w:rsidR="00B72E0E">
        <w:rPr>
          <w:lang w:val="en-CA"/>
        </w:rPr>
        <w:t xml:space="preserve">we </w:t>
      </w:r>
      <w:r>
        <w:rPr>
          <w:lang w:val="en-CA"/>
        </w:rPr>
        <w:t>typically treat the individual noise-generating components (condenser fans, condenser grills, compressors, air intake and exhaust openings) as separate noise sources</w:t>
      </w:r>
      <w:r w:rsidR="00F258CB">
        <w:rPr>
          <w:lang w:val="en-CA"/>
        </w:rPr>
        <w:t xml:space="preserve">: </w:t>
      </w:r>
      <w:r w:rsidR="005B4F05">
        <w:rPr>
          <w:lang w:val="en-CA"/>
        </w:rPr>
        <w:t>we measure sound levels near the various noise-generating components as needed to determine individual radiated sound power levels</w:t>
      </w:r>
      <w:r w:rsidR="00831386">
        <w:rPr>
          <w:lang w:val="en-CA"/>
        </w:rPr>
        <w:t>.</w:t>
      </w:r>
    </w:p>
    <w:p w14:paraId="1A3A3C75" w14:textId="4B19A32E" w:rsidR="00CE7CCF" w:rsidRDefault="00D94E02" w:rsidP="002B79DE">
      <w:pPr>
        <w:pStyle w:val="CorpsdeTexte-2"/>
        <w:rPr>
          <w:lang w:val="en-CA"/>
        </w:rPr>
      </w:pPr>
      <w:r>
        <w:rPr>
          <w:lang w:val="en-CA"/>
        </w:rPr>
        <w:t xml:space="preserve">Where possible, additional </w:t>
      </w:r>
      <w:r w:rsidR="00886BF0">
        <w:rPr>
          <w:lang w:val="en-CA"/>
        </w:rPr>
        <w:t xml:space="preserve">verification </w:t>
      </w:r>
      <w:r>
        <w:rPr>
          <w:lang w:val="en-CA"/>
        </w:rPr>
        <w:t xml:space="preserve">measurements are taken at a </w:t>
      </w:r>
      <w:r w:rsidR="00B72E0E">
        <w:rPr>
          <w:lang w:val="en-CA"/>
        </w:rPr>
        <w:t xml:space="preserve">greater </w:t>
      </w:r>
      <w:r>
        <w:rPr>
          <w:lang w:val="en-CA"/>
        </w:rPr>
        <w:t>distance from the equipment</w:t>
      </w:r>
      <w:r w:rsidR="0089240E">
        <w:rPr>
          <w:lang w:val="en-CA"/>
        </w:rPr>
        <w:t>. Those measurements can then be compared to predictions from environmental noise modelling software</w:t>
      </w:r>
      <w:r>
        <w:rPr>
          <w:lang w:val="en-CA"/>
        </w:rPr>
        <w:t>.</w:t>
      </w:r>
    </w:p>
    <w:p w14:paraId="3396EF76" w14:textId="515A7D98" w:rsidR="00525495" w:rsidRDefault="00525495" w:rsidP="00CE7CCF">
      <w:pPr>
        <w:pStyle w:val="CorpsdeTexte-2"/>
        <w:rPr>
          <w:lang w:val="en-CA"/>
        </w:rPr>
      </w:pPr>
      <w:r>
        <w:rPr>
          <w:lang w:val="en-CA"/>
        </w:rPr>
        <w:t xml:space="preserve">A further challenge for measurement collection is ensuring that the equipment </w:t>
      </w:r>
      <w:r w:rsidR="0089240E">
        <w:rPr>
          <w:lang w:val="en-CA"/>
        </w:rPr>
        <w:t>is</w:t>
      </w:r>
      <w:r>
        <w:rPr>
          <w:lang w:val="en-CA"/>
        </w:rPr>
        <w:t xml:space="preserve"> operating at the representative condition (or conditions) as needed for the environmental compliance assessment. For units that provide both heating and cooling, it is often only practical to measure each mode in the appropriate season.</w:t>
      </w:r>
    </w:p>
    <w:p w14:paraId="2E9623B7" w14:textId="77777777" w:rsidR="00D94E02" w:rsidRPr="00CE7CCF" w:rsidRDefault="00D94E02" w:rsidP="00CE7CCF">
      <w:pPr>
        <w:pStyle w:val="CorpsdeTexte-2"/>
        <w:rPr>
          <w:lang w:val="en-CA"/>
        </w:rPr>
      </w:pPr>
    </w:p>
    <w:p w14:paraId="076E13E3" w14:textId="107D0487" w:rsidR="00CE7CCF" w:rsidRDefault="00D94E02" w:rsidP="00D94E02">
      <w:pPr>
        <w:pStyle w:val="JCAAsection1"/>
        <w:rPr>
          <w:lang w:val="en-CA"/>
        </w:rPr>
      </w:pPr>
      <w:r>
        <w:rPr>
          <w:lang w:val="en-CA"/>
        </w:rPr>
        <w:t>Environmental Noise Modelling</w:t>
      </w:r>
    </w:p>
    <w:tbl>
      <w:tblPr>
        <w:tblStyle w:val="TableGrid"/>
        <w:tblpPr w:leftFromText="141" w:rightFromText="141" w:vertAnchor="text" w:horzAnchor="margin" w:tblpY="754"/>
        <w:tblW w:w="4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52"/>
        <w:gridCol w:w="1260"/>
        <w:gridCol w:w="1609"/>
      </w:tblGrid>
      <w:tr w:rsidR="005B4F05" w:rsidRPr="00F258CB" w14:paraId="1AA560A2" w14:textId="77777777" w:rsidTr="005B4F05">
        <w:trPr>
          <w:gridAfter w:val="1"/>
          <w:wAfter w:w="1609" w:type="dxa"/>
        </w:trPr>
        <w:tc>
          <w:tcPr>
            <w:tcW w:w="2052" w:type="dxa"/>
            <w:tcBorders>
              <w:bottom w:val="single" w:sz="8" w:space="0" w:color="auto"/>
            </w:tcBorders>
          </w:tcPr>
          <w:p w14:paraId="152DAD69" w14:textId="77777777" w:rsidR="005B4F05" w:rsidRPr="00CD43BF" w:rsidRDefault="005B4F05" w:rsidP="005B4F05">
            <w:pPr>
              <w:pStyle w:val="Table"/>
              <w:ind w:firstLine="540"/>
              <w:rPr>
                <w:sz w:val="16"/>
                <w:szCs w:val="16"/>
                <w:vertAlign w:val="superscript"/>
                <w:lang w:val="en-CA"/>
              </w:rPr>
            </w:pPr>
          </w:p>
        </w:tc>
        <w:tc>
          <w:tcPr>
            <w:tcW w:w="1260" w:type="dxa"/>
          </w:tcPr>
          <w:p w14:paraId="1462500B" w14:textId="77777777" w:rsidR="005B4F05" w:rsidRPr="00CD43BF" w:rsidRDefault="005B4F05" w:rsidP="005B4F05">
            <w:pPr>
              <w:pStyle w:val="Table"/>
              <w:ind w:firstLine="540"/>
              <w:rPr>
                <w:sz w:val="16"/>
                <w:szCs w:val="16"/>
                <w:vertAlign w:val="superscript"/>
                <w:lang w:val="en-CA"/>
              </w:rPr>
            </w:pPr>
          </w:p>
        </w:tc>
      </w:tr>
      <w:tr w:rsidR="005B4F05" w:rsidRPr="00CD43BF" w14:paraId="1A64E2C8" w14:textId="77777777" w:rsidTr="005B4F05">
        <w:trPr>
          <w:gridAfter w:val="1"/>
          <w:wAfter w:w="1609" w:type="dxa"/>
        </w:trPr>
        <w:tc>
          <w:tcPr>
            <w:tcW w:w="3312" w:type="dxa"/>
            <w:gridSpan w:val="2"/>
          </w:tcPr>
          <w:p w14:paraId="5578E7E3" w14:textId="77777777" w:rsidR="005B4F05" w:rsidRPr="00CD43BF" w:rsidRDefault="005B4F05" w:rsidP="005B4F05">
            <w:pPr>
              <w:pStyle w:val="Table"/>
              <w:ind w:firstLine="540"/>
              <w:rPr>
                <w:sz w:val="16"/>
                <w:szCs w:val="16"/>
                <w:vertAlign w:val="superscript"/>
                <w:lang w:val="en-CA"/>
              </w:rPr>
            </w:pPr>
            <w:r w:rsidRPr="00CD43BF">
              <w:rPr>
                <w:sz w:val="16"/>
                <w:szCs w:val="16"/>
                <w:vertAlign w:val="superscript"/>
                <w:lang w:val="en-CA"/>
              </w:rPr>
              <w:t>*</w:t>
            </w:r>
            <w:r>
              <w:rPr>
                <w:sz w:val="16"/>
                <w:szCs w:val="16"/>
                <w:lang w:val="en-CA"/>
              </w:rPr>
              <w:t>pier-gui@integraldxengineering.ca</w:t>
            </w:r>
          </w:p>
        </w:tc>
      </w:tr>
      <w:tr w:rsidR="005B4F05" w:rsidRPr="00CD43BF" w14:paraId="0C0E9F11" w14:textId="77777777" w:rsidTr="005B4F05">
        <w:tc>
          <w:tcPr>
            <w:tcW w:w="2052" w:type="dxa"/>
          </w:tcPr>
          <w:p w14:paraId="2B5CDB0A" w14:textId="77777777" w:rsidR="005B4F05" w:rsidRPr="00CD43BF" w:rsidRDefault="005B4F05" w:rsidP="005B4F05">
            <w:pPr>
              <w:pStyle w:val="Table"/>
              <w:rPr>
                <w:sz w:val="16"/>
                <w:szCs w:val="16"/>
                <w:vertAlign w:val="superscript"/>
                <w:lang w:val="en-CA"/>
              </w:rPr>
            </w:pPr>
          </w:p>
        </w:tc>
        <w:tc>
          <w:tcPr>
            <w:tcW w:w="2869" w:type="dxa"/>
            <w:gridSpan w:val="2"/>
          </w:tcPr>
          <w:p w14:paraId="244BD3F2" w14:textId="77777777" w:rsidR="005B4F05" w:rsidRPr="00CD43BF" w:rsidRDefault="005B4F05" w:rsidP="005B4F05">
            <w:pPr>
              <w:pStyle w:val="Table"/>
              <w:rPr>
                <w:sz w:val="16"/>
                <w:szCs w:val="16"/>
                <w:vertAlign w:val="superscript"/>
                <w:lang w:val="en-CA"/>
              </w:rPr>
            </w:pPr>
          </w:p>
        </w:tc>
      </w:tr>
    </w:tbl>
    <w:p w14:paraId="2F8283D6" w14:textId="4D36B9A0" w:rsidR="00CE7CCF" w:rsidRDefault="00363677" w:rsidP="00CE7CCF">
      <w:pPr>
        <w:rPr>
          <w:lang w:val="en-CA"/>
        </w:rPr>
      </w:pPr>
      <w:r>
        <w:rPr>
          <w:lang w:val="en-CA"/>
        </w:rPr>
        <w:t xml:space="preserve">We use </w:t>
      </w:r>
      <w:proofErr w:type="spellStart"/>
      <w:r>
        <w:rPr>
          <w:lang w:val="en-CA"/>
        </w:rPr>
        <w:t>CadnaA</w:t>
      </w:r>
      <w:proofErr w:type="spellEnd"/>
      <w:r>
        <w:rPr>
          <w:lang w:val="en-CA"/>
        </w:rPr>
        <w:t xml:space="preserve"> noise modelling software by </w:t>
      </w:r>
      <w:proofErr w:type="spellStart"/>
      <w:r>
        <w:rPr>
          <w:lang w:val="en-CA"/>
        </w:rPr>
        <w:t>DataKustik</w:t>
      </w:r>
      <w:proofErr w:type="spellEnd"/>
      <w:r>
        <w:rPr>
          <w:lang w:val="en-CA"/>
        </w:rPr>
        <w:t xml:space="preserve"> GmbH</w:t>
      </w:r>
      <w:r w:rsidR="00D94E02">
        <w:rPr>
          <w:lang w:val="en-CA"/>
        </w:rPr>
        <w:t xml:space="preserve">, </w:t>
      </w:r>
      <w:r w:rsidR="005518CD">
        <w:rPr>
          <w:lang w:val="en-CA"/>
        </w:rPr>
        <w:t xml:space="preserve">with the calculations completed </w:t>
      </w:r>
      <w:r w:rsidR="00D94E02">
        <w:rPr>
          <w:lang w:val="en-CA"/>
        </w:rPr>
        <w:t>as per its implementation of ISO 9613 [3]</w:t>
      </w:r>
      <w:r w:rsidR="003C50F3">
        <w:rPr>
          <w:lang w:val="en-CA"/>
        </w:rPr>
        <w:t xml:space="preserve">. </w:t>
      </w:r>
    </w:p>
    <w:p w14:paraId="46C66DBC" w14:textId="69FDD261" w:rsidR="003C50F3" w:rsidRDefault="003C50F3" w:rsidP="003C50F3">
      <w:pPr>
        <w:pStyle w:val="CorpsdeTexte-2"/>
        <w:rPr>
          <w:lang w:val="en-CA"/>
        </w:rPr>
      </w:pPr>
      <w:r>
        <w:rPr>
          <w:lang w:val="en-CA"/>
        </w:rPr>
        <w:lastRenderedPageBreak/>
        <w:t xml:space="preserve">Validation of a proposed new noise source starts with implementing the available sound level information from the manufacturer. </w:t>
      </w:r>
      <w:r w:rsidR="005518CD">
        <w:rPr>
          <w:lang w:val="en-CA"/>
        </w:rPr>
        <w:t>Typically,</w:t>
      </w:r>
      <w:r>
        <w:rPr>
          <w:lang w:val="en-CA"/>
        </w:rPr>
        <w:t xml:space="preserve"> a single point source with the reported radiated sound power data is added to the model. </w:t>
      </w:r>
      <w:r w:rsidR="006E58E0">
        <w:rPr>
          <w:lang w:val="en-CA"/>
        </w:rPr>
        <w:t>Whe</w:t>
      </w:r>
      <w:r w:rsidR="0089240E">
        <w:rPr>
          <w:lang w:val="en-CA"/>
        </w:rPr>
        <w:t>n</w:t>
      </w:r>
      <w:r w:rsidR="006E58E0">
        <w:rPr>
          <w:lang w:val="en-CA"/>
        </w:rPr>
        <w:t xml:space="preserve"> the available sound level data include individual components (e.g. condenser fans), this might be modelled separately (one point source per fan), with the equipment cabinet also </w:t>
      </w:r>
      <w:r w:rsidR="00EB350F">
        <w:rPr>
          <w:lang w:val="en-CA"/>
        </w:rPr>
        <w:t>incorporated as a screening object.</w:t>
      </w:r>
    </w:p>
    <w:p w14:paraId="37C2FE38" w14:textId="519A311D" w:rsidR="006E58E0" w:rsidRDefault="006E58E0" w:rsidP="003C50F3">
      <w:pPr>
        <w:pStyle w:val="CorpsdeTexte-2"/>
        <w:rPr>
          <w:lang w:val="en-CA"/>
        </w:rPr>
      </w:pPr>
      <w:r>
        <w:rPr>
          <w:lang w:val="en-CA"/>
        </w:rPr>
        <w:t>Following field measurements of the equipment, it will</w:t>
      </w:r>
      <w:r w:rsidR="00490866">
        <w:rPr>
          <w:lang w:val="en-CA"/>
        </w:rPr>
        <w:t xml:space="preserve"> typically</w:t>
      </w:r>
      <w:r>
        <w:rPr>
          <w:lang w:val="en-CA"/>
        </w:rPr>
        <w:t xml:space="preserve"> </w:t>
      </w:r>
      <w:r w:rsidR="00525495">
        <w:rPr>
          <w:lang w:val="en-CA"/>
        </w:rPr>
        <w:t xml:space="preserve">be </w:t>
      </w:r>
      <w:r>
        <w:rPr>
          <w:lang w:val="en-CA"/>
        </w:rPr>
        <w:t xml:space="preserve">modelled in more detail, including the equipment cabinet, point sources for components such as condenser fans and compressors, and </w:t>
      </w:r>
      <w:r w:rsidR="005518CD">
        <w:rPr>
          <w:lang w:val="en-CA"/>
        </w:rPr>
        <w:t xml:space="preserve">large </w:t>
      </w:r>
      <w:r>
        <w:rPr>
          <w:lang w:val="en-CA"/>
        </w:rPr>
        <w:t xml:space="preserve">air openings modelled as </w:t>
      </w:r>
      <w:r w:rsidR="005B4F05">
        <w:rPr>
          <w:lang w:val="en-CA"/>
        </w:rPr>
        <w:t xml:space="preserve">area </w:t>
      </w:r>
      <w:r>
        <w:rPr>
          <w:lang w:val="en-CA"/>
        </w:rPr>
        <w:t xml:space="preserve">sources. If equipment casing breakout noise is significant, this too is modelled as </w:t>
      </w:r>
      <w:r w:rsidR="00A544B7">
        <w:rPr>
          <w:lang w:val="en-CA"/>
        </w:rPr>
        <w:t xml:space="preserve">multiple </w:t>
      </w:r>
      <w:r>
        <w:rPr>
          <w:lang w:val="en-CA"/>
        </w:rPr>
        <w:t>area sources.</w:t>
      </w:r>
    </w:p>
    <w:p w14:paraId="1D12F23C" w14:textId="51DA297A" w:rsidR="006E58E0" w:rsidRDefault="006E58E0" w:rsidP="003C50F3">
      <w:pPr>
        <w:pStyle w:val="CorpsdeTexte-2"/>
        <w:rPr>
          <w:lang w:val="en-CA"/>
        </w:rPr>
      </w:pPr>
      <w:r>
        <w:rPr>
          <w:lang w:val="en-CA"/>
        </w:rPr>
        <w:t xml:space="preserve">Where field measurements at a distance from the equipment are available, a verification process can be used to confirm that noise emissions in the model match those measurement points. This means adding a receptor object in the model </w:t>
      </w:r>
      <w:r w:rsidR="00363677">
        <w:rPr>
          <w:lang w:val="en-CA"/>
        </w:rPr>
        <w:t xml:space="preserve">at the location of </w:t>
      </w:r>
      <w:r>
        <w:rPr>
          <w:lang w:val="en-CA"/>
        </w:rPr>
        <w:t xml:space="preserve">each measurement position. Often, the acoustic model </w:t>
      </w:r>
      <w:r w:rsidR="005518CD">
        <w:rPr>
          <w:lang w:val="en-CA"/>
        </w:rPr>
        <w:t xml:space="preserve">configuration </w:t>
      </w:r>
      <w:r>
        <w:rPr>
          <w:lang w:val="en-CA"/>
        </w:rPr>
        <w:t>must also be set differently to ensure an accurate comparison. For instance, the Ontario Ministry of the Environment</w:t>
      </w:r>
      <w:r w:rsidR="00503292">
        <w:rPr>
          <w:lang w:val="en-CA"/>
        </w:rPr>
        <w:t xml:space="preserve">, Conservation and Parks environmental noise guideline [4] requires a +5 dB penalty for noise </w:t>
      </w:r>
      <w:r w:rsidR="005518CD">
        <w:rPr>
          <w:lang w:val="en-CA"/>
        </w:rPr>
        <w:t xml:space="preserve">characteristics that are expected to increase disturbance, such as tonal noise </w:t>
      </w:r>
      <w:r w:rsidR="00503292">
        <w:rPr>
          <w:lang w:val="en-CA"/>
        </w:rPr>
        <w:t xml:space="preserve">– this penalty needs to be removed for the model verification process. </w:t>
      </w:r>
      <w:r w:rsidR="005518CD">
        <w:rPr>
          <w:lang w:val="en-CA"/>
        </w:rPr>
        <w:t>It must also be checked that the calculation configuration doesn’t exclude significant reflections that would have been present during measurement</w:t>
      </w:r>
      <w:r w:rsidR="0089240E">
        <w:rPr>
          <w:lang w:val="en-CA"/>
        </w:rPr>
        <w:t>s</w:t>
      </w:r>
      <w:r w:rsidR="00503292">
        <w:rPr>
          <w:lang w:val="en-CA"/>
        </w:rPr>
        <w:t>.</w:t>
      </w:r>
    </w:p>
    <w:p w14:paraId="522EA4E6" w14:textId="77777777" w:rsidR="00503292" w:rsidRDefault="00503292" w:rsidP="003C50F3">
      <w:pPr>
        <w:pStyle w:val="CorpsdeTexte-2"/>
        <w:rPr>
          <w:lang w:val="en-CA"/>
        </w:rPr>
      </w:pPr>
    </w:p>
    <w:p w14:paraId="73B4F11D" w14:textId="2FE5FAA8" w:rsidR="00503292" w:rsidRDefault="00503292" w:rsidP="00503292">
      <w:pPr>
        <w:pStyle w:val="JCAAsection1"/>
        <w:rPr>
          <w:lang w:val="en-CA"/>
        </w:rPr>
      </w:pPr>
      <w:r>
        <w:rPr>
          <w:lang w:val="en-CA"/>
        </w:rPr>
        <w:t>Sound Power Comparisons</w:t>
      </w:r>
    </w:p>
    <w:p w14:paraId="0B413766" w14:textId="041A3DC2" w:rsidR="00CE7CCF" w:rsidRDefault="00503292" w:rsidP="00CE7CCF">
      <w:pPr>
        <w:rPr>
          <w:lang w:val="en-CA"/>
        </w:rPr>
      </w:pPr>
      <w:r w:rsidRPr="00503292">
        <w:rPr>
          <w:lang w:val="en-CA"/>
        </w:rPr>
        <w:t>Our environmental noise validation and commissioning pro</w:t>
      </w:r>
      <w:r>
        <w:rPr>
          <w:lang w:val="en-CA"/>
        </w:rPr>
        <w:t>cess</w:t>
      </w:r>
      <w:r w:rsidR="00490866">
        <w:rPr>
          <w:lang w:val="en-CA"/>
        </w:rPr>
        <w:t>es</w:t>
      </w:r>
      <w:r>
        <w:rPr>
          <w:lang w:val="en-CA"/>
        </w:rPr>
        <w:t xml:space="preserve"> </w:t>
      </w:r>
      <w:r w:rsidR="00EB350F">
        <w:rPr>
          <w:lang w:val="en-CA"/>
        </w:rPr>
        <w:t xml:space="preserve">provide an </w:t>
      </w:r>
      <w:r w:rsidR="00490866">
        <w:rPr>
          <w:lang w:val="en-CA"/>
        </w:rPr>
        <w:t xml:space="preserve">opportunity to compare </w:t>
      </w:r>
      <w:r>
        <w:rPr>
          <w:lang w:val="en-CA"/>
        </w:rPr>
        <w:t xml:space="preserve">manufacturer-reported sound </w:t>
      </w:r>
      <w:r w:rsidR="00A544B7">
        <w:rPr>
          <w:lang w:val="en-CA"/>
        </w:rPr>
        <w:t xml:space="preserve">data </w:t>
      </w:r>
      <w:r>
        <w:rPr>
          <w:lang w:val="en-CA"/>
        </w:rPr>
        <w:t xml:space="preserve">with </w:t>
      </w:r>
      <w:r w:rsidR="00490866">
        <w:rPr>
          <w:lang w:val="en-CA"/>
        </w:rPr>
        <w:t>measurement</w:t>
      </w:r>
      <w:r w:rsidR="00A544B7">
        <w:rPr>
          <w:lang w:val="en-CA"/>
        </w:rPr>
        <w:t xml:space="preserve"> data</w:t>
      </w:r>
      <w:r w:rsidR="00490866">
        <w:rPr>
          <w:lang w:val="en-CA"/>
        </w:rPr>
        <w:t xml:space="preserve"> </w:t>
      </w:r>
      <w:r>
        <w:rPr>
          <w:lang w:val="en-CA"/>
        </w:rPr>
        <w:t>of the</w:t>
      </w:r>
      <w:r w:rsidR="00426780">
        <w:rPr>
          <w:lang w:val="en-CA"/>
        </w:rPr>
        <w:t xml:space="preserve"> equipment once</w:t>
      </w:r>
      <w:r>
        <w:rPr>
          <w:lang w:val="en-CA"/>
        </w:rPr>
        <w:t xml:space="preserve"> installed. </w:t>
      </w:r>
      <w:r w:rsidR="00525495">
        <w:rPr>
          <w:lang w:val="en-CA"/>
        </w:rPr>
        <w:t>For 22 individual pieces of equipment, Figure</w:t>
      </w:r>
      <w:r w:rsidR="00242EF7">
        <w:rPr>
          <w:lang w:val="en-CA"/>
        </w:rPr>
        <w:t> </w:t>
      </w:r>
      <w:r w:rsidR="00525495">
        <w:rPr>
          <w:lang w:val="en-CA"/>
        </w:rPr>
        <w:t xml:space="preserve">1 </w:t>
      </w:r>
      <w:r w:rsidR="00A544B7">
        <w:rPr>
          <w:lang w:val="en-CA"/>
        </w:rPr>
        <w:t xml:space="preserve">compares the sound power level determined by measurement, relative </w:t>
      </w:r>
      <w:r w:rsidR="00525495">
        <w:rPr>
          <w:lang w:val="en-CA"/>
        </w:rPr>
        <w:t xml:space="preserve">to the </w:t>
      </w:r>
      <w:r w:rsidR="00A544B7">
        <w:rPr>
          <w:lang w:val="en-CA"/>
        </w:rPr>
        <w:t xml:space="preserve">sound power </w:t>
      </w:r>
      <w:r w:rsidR="00242EF7">
        <w:rPr>
          <w:lang w:val="en-CA"/>
        </w:rPr>
        <w:t xml:space="preserve">level </w:t>
      </w:r>
      <w:r w:rsidR="00525495">
        <w:rPr>
          <w:lang w:val="en-CA"/>
        </w:rPr>
        <w:t>provided by the manufacturer</w:t>
      </w:r>
      <w:r w:rsidR="00A544B7">
        <w:rPr>
          <w:lang w:val="en-CA"/>
        </w:rPr>
        <w:t xml:space="preserve"> (or calculated from manufacturer-provided sound pressure levels). A </w:t>
      </w:r>
      <w:r w:rsidR="009076AE">
        <w:rPr>
          <w:lang w:val="en-CA"/>
        </w:rPr>
        <w:t>positive value</w:t>
      </w:r>
      <w:r w:rsidR="00490866">
        <w:rPr>
          <w:lang w:val="en-CA"/>
        </w:rPr>
        <w:t xml:space="preserve"> in Figure 1</w:t>
      </w:r>
      <w:r w:rsidR="009076AE">
        <w:rPr>
          <w:lang w:val="en-CA"/>
        </w:rPr>
        <w:t xml:space="preserve"> indicates that the sound power determined by measurement was higher than </w:t>
      </w:r>
      <w:r w:rsidR="00242EF7">
        <w:rPr>
          <w:lang w:val="en-CA"/>
        </w:rPr>
        <w:t xml:space="preserve">expected given </w:t>
      </w:r>
      <w:r w:rsidR="009076AE">
        <w:rPr>
          <w:lang w:val="en-CA"/>
        </w:rPr>
        <w:t>the manufacturer</w:t>
      </w:r>
      <w:r w:rsidR="00242EF7">
        <w:rPr>
          <w:lang w:val="en-CA"/>
        </w:rPr>
        <w:t xml:space="preserve"> sound data</w:t>
      </w:r>
      <w:r w:rsidR="00525495">
        <w:rPr>
          <w:lang w:val="en-CA"/>
        </w:rPr>
        <w:t xml:space="preserve">. This data set is limited </w:t>
      </w:r>
      <w:r w:rsidR="00242EF7">
        <w:rPr>
          <w:lang w:val="en-CA"/>
        </w:rPr>
        <w:t>to equipment</w:t>
      </w:r>
      <w:r w:rsidR="00525495">
        <w:rPr>
          <w:lang w:val="en-CA"/>
        </w:rPr>
        <w:t xml:space="preserve"> </w:t>
      </w:r>
      <w:r w:rsidR="00242EF7">
        <w:rPr>
          <w:lang w:val="en-CA"/>
        </w:rPr>
        <w:t xml:space="preserve">with relatively high-quality </w:t>
      </w:r>
      <w:r w:rsidR="00525495">
        <w:rPr>
          <w:lang w:val="en-CA"/>
        </w:rPr>
        <w:t xml:space="preserve">manufacturer data, </w:t>
      </w:r>
      <w:r w:rsidR="0089240E">
        <w:rPr>
          <w:lang w:val="en-CA"/>
        </w:rPr>
        <w:t xml:space="preserve">with no </w:t>
      </w:r>
      <w:r w:rsidR="00525495">
        <w:rPr>
          <w:lang w:val="en-CA"/>
        </w:rPr>
        <w:t xml:space="preserve">additional calculations </w:t>
      </w:r>
      <w:r w:rsidR="0089240E">
        <w:rPr>
          <w:lang w:val="en-CA"/>
        </w:rPr>
        <w:t xml:space="preserve">needed </w:t>
      </w:r>
      <w:r w:rsidR="00525495">
        <w:rPr>
          <w:lang w:val="en-CA"/>
        </w:rPr>
        <w:t>for duct losses or breakout nois</w:t>
      </w:r>
      <w:r w:rsidR="0089240E">
        <w:rPr>
          <w:lang w:val="en-CA"/>
        </w:rPr>
        <w:t>e</w:t>
      </w:r>
      <w:r w:rsidR="00525495">
        <w:rPr>
          <w:lang w:val="en-CA"/>
        </w:rPr>
        <w:t>.</w:t>
      </w:r>
    </w:p>
    <w:p w14:paraId="4F7F530C" w14:textId="139E75EA" w:rsidR="00E43585" w:rsidRDefault="009076AE" w:rsidP="009076AE">
      <w:pPr>
        <w:pStyle w:val="CorpsdeTexte-2"/>
        <w:rPr>
          <w:lang w:val="en-CA"/>
        </w:rPr>
      </w:pPr>
      <w:r>
        <w:rPr>
          <w:lang w:val="en-CA"/>
        </w:rPr>
        <w:t xml:space="preserve">Comparing overall dBA ratings, most equipment </w:t>
      </w:r>
      <w:r w:rsidR="00EB350F">
        <w:rPr>
          <w:lang w:val="en-CA"/>
        </w:rPr>
        <w:t>are</w:t>
      </w:r>
      <w:r>
        <w:rPr>
          <w:lang w:val="en-CA"/>
        </w:rPr>
        <w:t xml:space="preserve"> within +/- 4 dB of the manufacturer-reported level.</w:t>
      </w:r>
      <w:r w:rsidR="00E43585">
        <w:rPr>
          <w:lang w:val="en-CA"/>
        </w:rPr>
        <w:t xml:space="preserve"> Outliers as far as – 6 dB and +12 dB are found. Even greater variability is found in individual octave band data per Figure 1.</w:t>
      </w:r>
    </w:p>
    <w:p w14:paraId="2A344E62" w14:textId="64D27621" w:rsidR="00E43585" w:rsidRDefault="00E43585" w:rsidP="004F36FD">
      <w:pPr>
        <w:pStyle w:val="CorpsdeTexte-2"/>
        <w:rPr>
          <w:lang w:val="en-CA"/>
        </w:rPr>
      </w:pPr>
      <w:r>
        <w:rPr>
          <w:lang w:val="en-CA"/>
        </w:rPr>
        <w:t>There are many possible explanations for significant differences in the measure</w:t>
      </w:r>
      <w:r w:rsidR="00490866">
        <w:rPr>
          <w:lang w:val="en-CA"/>
        </w:rPr>
        <w:t>d</w:t>
      </w:r>
      <w:r>
        <w:rPr>
          <w:lang w:val="en-CA"/>
        </w:rPr>
        <w:t xml:space="preserve"> vs expected sound power ratings.  The specific</w:t>
      </w:r>
      <w:r w:rsidR="00EB350F">
        <w:rPr>
          <w:lang w:val="en-CA"/>
        </w:rPr>
        <w:t xml:space="preserve"> </w:t>
      </w:r>
      <w:r w:rsidR="00EC46CA">
        <w:rPr>
          <w:lang w:val="en-CA"/>
        </w:rPr>
        <w:t xml:space="preserve">equipment configuration and </w:t>
      </w:r>
      <w:r w:rsidR="00EB350F">
        <w:rPr>
          <w:lang w:val="en-CA"/>
        </w:rPr>
        <w:t>operating</w:t>
      </w:r>
      <w:r>
        <w:rPr>
          <w:lang w:val="en-CA"/>
        </w:rPr>
        <w:t xml:space="preserve"> conditions could </w:t>
      </w:r>
      <w:r w:rsidR="00EB350F">
        <w:rPr>
          <w:lang w:val="en-CA"/>
        </w:rPr>
        <w:t xml:space="preserve">differ from </w:t>
      </w:r>
      <w:r>
        <w:rPr>
          <w:lang w:val="en-CA"/>
        </w:rPr>
        <w:t>th</w:t>
      </w:r>
      <w:r w:rsidR="0089240E">
        <w:rPr>
          <w:lang w:val="en-CA"/>
        </w:rPr>
        <w:t>os</w:t>
      </w:r>
      <w:r>
        <w:rPr>
          <w:lang w:val="en-CA"/>
        </w:rPr>
        <w:t xml:space="preserve">e </w:t>
      </w:r>
      <w:r w:rsidR="00EB350F">
        <w:rPr>
          <w:lang w:val="en-CA"/>
        </w:rPr>
        <w:t xml:space="preserve">represented by the </w:t>
      </w:r>
      <w:r>
        <w:rPr>
          <w:lang w:val="en-CA"/>
        </w:rPr>
        <w:t>manufacturer data</w:t>
      </w:r>
      <w:r w:rsidR="0089240E">
        <w:rPr>
          <w:lang w:val="en-CA"/>
        </w:rPr>
        <w:t xml:space="preserve"> (</w:t>
      </w:r>
      <w:r>
        <w:rPr>
          <w:lang w:val="en-CA"/>
        </w:rPr>
        <w:t xml:space="preserve">e.g. </w:t>
      </w:r>
      <w:r w:rsidR="004C55E1">
        <w:rPr>
          <w:lang w:val="en-CA"/>
        </w:rPr>
        <w:t xml:space="preserve">differences in </w:t>
      </w:r>
      <w:r w:rsidR="00EB350F">
        <w:rPr>
          <w:lang w:val="en-CA"/>
        </w:rPr>
        <w:t xml:space="preserve">air flow conditions </w:t>
      </w:r>
      <w:r w:rsidR="004C55E1">
        <w:rPr>
          <w:lang w:val="en-CA"/>
        </w:rPr>
        <w:t>can have a considerable impact on noise emissions</w:t>
      </w:r>
      <w:r w:rsidR="0089240E">
        <w:rPr>
          <w:lang w:val="en-CA"/>
        </w:rPr>
        <w:t>)</w:t>
      </w:r>
      <w:r>
        <w:rPr>
          <w:lang w:val="en-CA"/>
        </w:rPr>
        <w:t xml:space="preserve">. </w:t>
      </w:r>
      <w:r w:rsidR="00E357DF">
        <w:rPr>
          <w:lang w:val="en-CA"/>
        </w:rPr>
        <w:t xml:space="preserve">Some of the </w:t>
      </w:r>
      <w:r w:rsidR="00490866">
        <w:rPr>
          <w:lang w:val="en-CA"/>
        </w:rPr>
        <w:t xml:space="preserve">field </w:t>
      </w:r>
      <w:r w:rsidR="00E357DF">
        <w:rPr>
          <w:lang w:val="en-CA"/>
        </w:rPr>
        <w:t>measurements were performed many years after the</w:t>
      </w:r>
      <w:r w:rsidR="00490866">
        <w:rPr>
          <w:lang w:val="en-CA"/>
        </w:rPr>
        <w:t xml:space="preserve"> equipment was installed</w:t>
      </w:r>
      <w:r w:rsidR="00E357DF">
        <w:rPr>
          <w:lang w:val="en-CA"/>
        </w:rPr>
        <w:t>, inviting the possibility that sound levels ha</w:t>
      </w:r>
      <w:r w:rsidR="0089240E">
        <w:rPr>
          <w:lang w:val="en-CA"/>
        </w:rPr>
        <w:t>d</w:t>
      </w:r>
      <w:r w:rsidR="00E357DF">
        <w:rPr>
          <w:lang w:val="en-CA"/>
        </w:rPr>
        <w:t xml:space="preserve"> changed as a result of </w:t>
      </w:r>
      <w:r w:rsidR="004C55E1">
        <w:rPr>
          <w:lang w:val="en-CA"/>
        </w:rPr>
        <w:t xml:space="preserve">equipment </w:t>
      </w:r>
      <w:r w:rsidR="00E357DF">
        <w:rPr>
          <w:lang w:val="en-CA"/>
        </w:rPr>
        <w:t xml:space="preserve">wear and tear. </w:t>
      </w:r>
      <w:r>
        <w:rPr>
          <w:lang w:val="en-CA"/>
        </w:rPr>
        <w:t xml:space="preserve">There </w:t>
      </w:r>
      <w:r w:rsidR="004C55E1">
        <w:rPr>
          <w:lang w:val="en-CA"/>
        </w:rPr>
        <w:t xml:space="preserve">are </w:t>
      </w:r>
      <w:r>
        <w:rPr>
          <w:lang w:val="en-CA"/>
        </w:rPr>
        <w:t>also</w:t>
      </w:r>
      <w:r w:rsidR="004C55E1">
        <w:rPr>
          <w:lang w:val="en-CA"/>
        </w:rPr>
        <w:t xml:space="preserve"> several possibilities for </w:t>
      </w:r>
      <w:r>
        <w:rPr>
          <w:lang w:val="en-CA"/>
        </w:rPr>
        <w:t xml:space="preserve">measurement error, </w:t>
      </w:r>
      <w:r>
        <w:rPr>
          <w:lang w:val="en-CA"/>
        </w:rPr>
        <w:t>given the</w:t>
      </w:r>
      <w:r w:rsidR="00E357DF">
        <w:rPr>
          <w:lang w:val="en-CA"/>
        </w:rPr>
        <w:t xml:space="preserve"> above-noted challenges </w:t>
      </w:r>
      <w:r w:rsidR="004C55E1">
        <w:rPr>
          <w:lang w:val="en-CA"/>
        </w:rPr>
        <w:t xml:space="preserve">with </w:t>
      </w:r>
      <w:r w:rsidR="00E357DF">
        <w:rPr>
          <w:lang w:val="en-CA"/>
        </w:rPr>
        <w:t>measurement collection</w:t>
      </w:r>
      <w:r>
        <w:rPr>
          <w:lang w:val="en-CA"/>
        </w:rPr>
        <w:t xml:space="preserve">. </w:t>
      </w:r>
    </w:p>
    <w:p w14:paraId="179637F5" w14:textId="1CADB0C3" w:rsidR="00570E93" w:rsidRDefault="00570E93" w:rsidP="00570E93">
      <w:pPr>
        <w:pStyle w:val="CorpsdeTexte-1"/>
        <w:rPr>
          <w:lang w:val="en-CA"/>
        </w:rPr>
      </w:pPr>
      <w:r>
        <w:rPr>
          <w:noProof/>
        </w:rPr>
        <w:drawing>
          <wp:inline distT="0" distB="0" distL="0" distR="0" wp14:anchorId="4E62D86B" wp14:editId="25FE558F">
            <wp:extent cx="3086100" cy="3000375"/>
            <wp:effectExtent l="0" t="0" r="0" b="9525"/>
            <wp:docPr id="2104353589" name="Chart 1">
              <a:extLst xmlns:a="http://schemas.openxmlformats.org/drawingml/2006/main">
                <a:ext uri="{FF2B5EF4-FFF2-40B4-BE49-F238E27FC236}">
                  <a16:creationId xmlns:a16="http://schemas.microsoft.com/office/drawing/2014/main" id="{451F29A3-7D02-16E4-18CB-221790DFE7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E7B5A98" w14:textId="15CA9C07" w:rsidR="00E43585" w:rsidRPr="00892880" w:rsidRDefault="00892880" w:rsidP="00892880">
      <w:pPr>
        <w:pStyle w:val="Figures"/>
        <w:rPr>
          <w:lang w:val="en-CA"/>
        </w:rPr>
      </w:pPr>
      <w:r w:rsidRPr="00892880">
        <w:rPr>
          <w:lang w:val="en-CA"/>
        </w:rPr>
        <w:t xml:space="preserve">Figure 1: </w:t>
      </w:r>
      <w:r w:rsidR="00EC46CA">
        <w:rPr>
          <w:lang w:val="en-CA"/>
        </w:rPr>
        <w:t>S</w:t>
      </w:r>
      <w:r>
        <w:rPr>
          <w:lang w:val="en-CA"/>
        </w:rPr>
        <w:t>ound power levels</w:t>
      </w:r>
      <w:r w:rsidR="007E3FAA">
        <w:rPr>
          <w:lang w:val="en-CA"/>
        </w:rPr>
        <w:t xml:space="preserve"> calculated from measurements</w:t>
      </w:r>
      <w:r>
        <w:rPr>
          <w:lang w:val="en-CA"/>
        </w:rPr>
        <w:t xml:space="preserve">, relative to </w:t>
      </w:r>
      <w:r w:rsidR="007E3FAA">
        <w:rPr>
          <w:lang w:val="en-CA"/>
        </w:rPr>
        <w:t>sound power levels</w:t>
      </w:r>
      <w:r w:rsidR="00242EF7">
        <w:rPr>
          <w:lang w:val="en-CA"/>
        </w:rPr>
        <w:t xml:space="preserve"> obtained</w:t>
      </w:r>
      <w:r w:rsidR="007E3FAA">
        <w:rPr>
          <w:lang w:val="en-CA"/>
        </w:rPr>
        <w:t xml:space="preserve"> from manufacturer data.</w:t>
      </w:r>
    </w:p>
    <w:p w14:paraId="28231D60" w14:textId="77777777" w:rsidR="00E43585" w:rsidRDefault="00E43585" w:rsidP="00892880">
      <w:pPr>
        <w:pStyle w:val="CorpsdeTexte-2"/>
        <w:ind w:firstLine="0"/>
        <w:rPr>
          <w:lang w:val="en-CA"/>
        </w:rPr>
      </w:pPr>
    </w:p>
    <w:p w14:paraId="108E3F10" w14:textId="2B2130AF" w:rsidR="00E43585" w:rsidRDefault="00E43585" w:rsidP="00E43585">
      <w:pPr>
        <w:pStyle w:val="JCAAsection1"/>
        <w:rPr>
          <w:lang w:val="en-CA"/>
        </w:rPr>
      </w:pPr>
      <w:r>
        <w:rPr>
          <w:lang w:val="en-CA"/>
        </w:rPr>
        <w:t>Future Work</w:t>
      </w:r>
    </w:p>
    <w:p w14:paraId="6D7AC669" w14:textId="5B711F76" w:rsidR="00E43585" w:rsidRPr="00E43585" w:rsidRDefault="00E43585" w:rsidP="004C55E1">
      <w:pPr>
        <w:pStyle w:val="CorpsdeTexte-1"/>
        <w:rPr>
          <w:lang w:val="en-CA"/>
        </w:rPr>
      </w:pPr>
      <w:r>
        <w:rPr>
          <w:lang w:val="en-CA"/>
        </w:rPr>
        <w:t xml:space="preserve">Further study into the specific factors affecting the correlation between </w:t>
      </w:r>
      <w:r w:rsidR="00EC46CA">
        <w:rPr>
          <w:lang w:val="en-CA"/>
        </w:rPr>
        <w:t>reported</w:t>
      </w:r>
      <w:r>
        <w:rPr>
          <w:lang w:val="en-CA"/>
        </w:rPr>
        <w:t xml:space="preserve"> and measured sound power levels could be done by </w:t>
      </w:r>
      <w:r w:rsidR="00E357DF">
        <w:rPr>
          <w:lang w:val="en-CA"/>
        </w:rPr>
        <w:t xml:space="preserve">performing a statistical analysis with more input data. </w:t>
      </w:r>
      <w:r w:rsidR="004C55E1">
        <w:rPr>
          <w:lang w:val="en-CA"/>
        </w:rPr>
        <w:t xml:space="preserve">This could include tracking the </w:t>
      </w:r>
      <w:r w:rsidR="00E357DF">
        <w:rPr>
          <w:lang w:val="en-CA"/>
        </w:rPr>
        <w:t xml:space="preserve">“repeatability” of </w:t>
      </w:r>
      <w:r w:rsidR="00EC46CA">
        <w:rPr>
          <w:lang w:val="en-CA"/>
        </w:rPr>
        <w:t xml:space="preserve">reported </w:t>
      </w:r>
      <w:r w:rsidR="00E357DF">
        <w:rPr>
          <w:lang w:val="en-CA"/>
        </w:rPr>
        <w:t>sound power ratings</w:t>
      </w:r>
      <w:r w:rsidR="004C55E1">
        <w:rPr>
          <w:lang w:val="en-CA"/>
        </w:rPr>
        <w:t xml:space="preserve"> based on the equipment type</w:t>
      </w:r>
      <w:r w:rsidR="00EC46CA">
        <w:rPr>
          <w:lang w:val="en-CA"/>
        </w:rPr>
        <w:t>, model</w:t>
      </w:r>
      <w:r w:rsidR="004C55E1">
        <w:rPr>
          <w:lang w:val="en-CA"/>
        </w:rPr>
        <w:t xml:space="preserve">, </w:t>
      </w:r>
      <w:r w:rsidR="00EC46CA">
        <w:rPr>
          <w:lang w:val="en-CA"/>
        </w:rPr>
        <w:t>or manufacturer</w:t>
      </w:r>
      <w:r w:rsidR="00E357DF">
        <w:rPr>
          <w:lang w:val="en-CA"/>
        </w:rPr>
        <w:t xml:space="preserve">. Finally, a detailed analysis of the outliers may provide a better understanding of the causes for those discrepancies. </w:t>
      </w:r>
    </w:p>
    <w:p w14:paraId="757EFD3F" w14:textId="77777777" w:rsidR="00B70698" w:rsidRPr="00CD43BF" w:rsidRDefault="00B70698" w:rsidP="000F0B03">
      <w:pPr>
        <w:pStyle w:val="CorpsdeTexte-2"/>
        <w:rPr>
          <w:lang w:val="en-CA"/>
        </w:rPr>
      </w:pPr>
    </w:p>
    <w:p w14:paraId="23C64509" w14:textId="2E56E85D" w:rsidR="00B70698" w:rsidRPr="00CD43BF" w:rsidRDefault="00B70698" w:rsidP="00EF0156">
      <w:pPr>
        <w:pStyle w:val="JCAAsection"/>
        <w:rPr>
          <w:lang w:val="en-CA"/>
        </w:rPr>
      </w:pPr>
      <w:r w:rsidRPr="00CD43BF">
        <w:rPr>
          <w:lang w:val="en-CA"/>
        </w:rPr>
        <w:t>Acknowledgments</w:t>
      </w:r>
    </w:p>
    <w:p w14:paraId="5EF36931" w14:textId="0477A9D8" w:rsidR="004C55E1" w:rsidRDefault="00E357DF" w:rsidP="006E379D">
      <w:pPr>
        <w:pStyle w:val="CorpsdeTexte-1"/>
        <w:rPr>
          <w:lang w:val="en-CA"/>
        </w:rPr>
      </w:pPr>
      <w:r>
        <w:rPr>
          <w:lang w:val="en-CA"/>
        </w:rPr>
        <w:t>The authors would like to recognize Canadian Bank Note Company, Limited, for allowing use of measurement</w:t>
      </w:r>
      <w:r w:rsidR="00426780">
        <w:rPr>
          <w:lang w:val="en-CA"/>
        </w:rPr>
        <w:t>s</w:t>
      </w:r>
      <w:r>
        <w:rPr>
          <w:lang w:val="en-CA"/>
        </w:rPr>
        <w:t xml:space="preserve"> gathered at their facilities as the primary </w:t>
      </w:r>
      <w:r w:rsidR="00426780">
        <w:rPr>
          <w:lang w:val="en-CA"/>
        </w:rPr>
        <w:t xml:space="preserve">data </w:t>
      </w:r>
      <w:r>
        <w:rPr>
          <w:lang w:val="en-CA"/>
        </w:rPr>
        <w:t>source for this paper.</w:t>
      </w:r>
    </w:p>
    <w:p w14:paraId="1E299F74" w14:textId="77777777" w:rsidR="006E379D" w:rsidRPr="006E379D" w:rsidRDefault="006E379D" w:rsidP="006E379D">
      <w:pPr>
        <w:rPr>
          <w:lang w:val="en-CA"/>
        </w:rPr>
      </w:pPr>
    </w:p>
    <w:p w14:paraId="122CC0DB" w14:textId="77777777" w:rsidR="00B70698" w:rsidRPr="00CD43BF" w:rsidRDefault="00B70698" w:rsidP="00EF0156">
      <w:pPr>
        <w:pStyle w:val="JCAAsection"/>
        <w:rPr>
          <w:lang w:val="en-CA"/>
        </w:rPr>
      </w:pPr>
      <w:r w:rsidRPr="00CD43BF">
        <w:rPr>
          <w:lang w:val="en-CA"/>
        </w:rPr>
        <w:t xml:space="preserve">References </w:t>
      </w:r>
    </w:p>
    <w:p w14:paraId="3BAA3CB5" w14:textId="0CE7CA2B" w:rsidR="00CD3B21" w:rsidRPr="00CD43BF" w:rsidRDefault="00B70698" w:rsidP="00EF0156">
      <w:pPr>
        <w:pStyle w:val="References"/>
        <w:spacing w:after="60"/>
        <w:rPr>
          <w:sz w:val="18"/>
          <w:szCs w:val="18"/>
          <w:lang w:val="en-CA"/>
        </w:rPr>
      </w:pPr>
      <w:r w:rsidRPr="00CD43BF">
        <w:rPr>
          <w:sz w:val="18"/>
          <w:szCs w:val="18"/>
          <w:lang w:val="en-CA"/>
        </w:rPr>
        <w:t xml:space="preserve">[1] </w:t>
      </w:r>
      <w:r w:rsidR="00AA14F3">
        <w:rPr>
          <w:sz w:val="18"/>
          <w:szCs w:val="18"/>
          <w:lang w:val="en-CA"/>
        </w:rPr>
        <w:t>ISO 3744:2010 Acoustics – Determination of sound power levels and sound energy levels of noise sources using sound pressure – Engineering methods for an essentially free field over a reflecting plane</w:t>
      </w:r>
    </w:p>
    <w:p w14:paraId="5AA388CB" w14:textId="2A9A3B7C" w:rsidR="00AF3710" w:rsidRDefault="00B70698" w:rsidP="00EF0156">
      <w:pPr>
        <w:pStyle w:val="References"/>
        <w:spacing w:after="60"/>
        <w:rPr>
          <w:sz w:val="18"/>
          <w:szCs w:val="18"/>
          <w:lang w:val="en-CA"/>
        </w:rPr>
      </w:pPr>
      <w:r w:rsidRPr="00CD43BF">
        <w:rPr>
          <w:sz w:val="18"/>
          <w:szCs w:val="18"/>
          <w:lang w:val="en-CA"/>
        </w:rPr>
        <w:t>[2] </w:t>
      </w:r>
      <w:r w:rsidR="00CD3B21">
        <w:rPr>
          <w:sz w:val="18"/>
          <w:szCs w:val="18"/>
          <w:lang w:val="en-CA"/>
        </w:rPr>
        <w:t>AHRI 270</w:t>
      </w:r>
      <w:r w:rsidR="00541749">
        <w:rPr>
          <w:sz w:val="18"/>
          <w:szCs w:val="18"/>
          <w:lang w:val="en-CA"/>
        </w:rPr>
        <w:t xml:space="preserve">-2015: </w:t>
      </w:r>
      <w:r w:rsidR="00CD3B21">
        <w:rPr>
          <w:sz w:val="18"/>
          <w:szCs w:val="18"/>
          <w:lang w:val="en-CA"/>
        </w:rPr>
        <w:t>Standard for Sound Performance Rating of Outdoor Unitary Equipment</w:t>
      </w:r>
    </w:p>
    <w:p w14:paraId="06177D71" w14:textId="3D8413F2" w:rsidR="00D94E02" w:rsidRDefault="00D94E02" w:rsidP="00EF0156">
      <w:pPr>
        <w:pStyle w:val="References"/>
        <w:spacing w:after="60"/>
        <w:rPr>
          <w:sz w:val="18"/>
          <w:szCs w:val="18"/>
          <w:lang w:val="en-CA"/>
        </w:rPr>
      </w:pPr>
      <w:r>
        <w:rPr>
          <w:sz w:val="18"/>
          <w:szCs w:val="18"/>
          <w:lang w:val="en-CA"/>
        </w:rPr>
        <w:t xml:space="preserve">[3] </w:t>
      </w:r>
      <w:r w:rsidR="003C50F3">
        <w:rPr>
          <w:sz w:val="18"/>
          <w:szCs w:val="18"/>
          <w:lang w:val="en-CA"/>
        </w:rPr>
        <w:t>ISO 9613-2:1996 Acoustic</w:t>
      </w:r>
      <w:r w:rsidR="00541749">
        <w:rPr>
          <w:sz w:val="18"/>
          <w:szCs w:val="18"/>
          <w:lang w:val="en-CA"/>
        </w:rPr>
        <w:t>s</w:t>
      </w:r>
      <w:r w:rsidR="003C50F3">
        <w:rPr>
          <w:sz w:val="18"/>
          <w:szCs w:val="18"/>
          <w:lang w:val="en-CA"/>
        </w:rPr>
        <w:t xml:space="preserve"> – Attenuation of sound during propagation outdoors – Part 2: General method of calculation</w:t>
      </w:r>
    </w:p>
    <w:p w14:paraId="4C9413BE" w14:textId="3EC1F34D" w:rsidR="00503292" w:rsidRPr="00503292" w:rsidRDefault="00503292" w:rsidP="00EF0156">
      <w:pPr>
        <w:pStyle w:val="References"/>
        <w:spacing w:after="60"/>
        <w:rPr>
          <w:sz w:val="18"/>
          <w:szCs w:val="18"/>
          <w:lang w:val="en-CA"/>
        </w:rPr>
      </w:pPr>
      <w:r w:rsidRPr="00503292">
        <w:rPr>
          <w:sz w:val="18"/>
          <w:szCs w:val="18"/>
          <w:lang w:val="en-CA"/>
        </w:rPr>
        <w:t>[4] Ontario MECP Publication NPC-300 Environmental Noise Guideline – Stationary and Transportation S</w:t>
      </w:r>
      <w:r>
        <w:rPr>
          <w:sz w:val="18"/>
          <w:szCs w:val="18"/>
          <w:lang w:val="en-CA"/>
        </w:rPr>
        <w:t>ources – Approval and Planning</w:t>
      </w:r>
    </w:p>
    <w:sectPr w:rsidR="00503292" w:rsidRPr="00503292" w:rsidSect="005B1B7A">
      <w:footerReference w:type="default" r:id="rId11"/>
      <w:type w:val="continuous"/>
      <w:pgSz w:w="12240" w:h="15840"/>
      <w:pgMar w:top="1080" w:right="1080" w:bottom="1080" w:left="1080" w:header="720" w:footer="425" w:gutter="0"/>
      <w:cols w:num="2" w:space="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C2547" w14:textId="77777777" w:rsidR="00DA6E2D" w:rsidRDefault="00DA6E2D">
      <w:r>
        <w:separator/>
      </w:r>
    </w:p>
  </w:endnote>
  <w:endnote w:type="continuationSeparator" w:id="0">
    <w:p w14:paraId="27663043" w14:textId="77777777" w:rsidR="00DA6E2D" w:rsidRDefault="00DA6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Monaco">
    <w:altName w:val="Courier New"/>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67EB0" w14:textId="77777777" w:rsidR="007C03DE" w:rsidRDefault="00000000">
    <w:pPr>
      <w:pStyle w:val="Footer"/>
    </w:pPr>
    <w:sdt>
      <w:sdtPr>
        <w:id w:val="1218085077"/>
        <w:temporary/>
        <w:showingPlcHdr/>
      </w:sdtPr>
      <w:sdtContent>
        <w:r w:rsidR="007C03DE">
          <w:rPr>
            <w:lang w:val="fr-FR"/>
          </w:rPr>
          <w:t>[Tapez le texte]</w:t>
        </w:r>
      </w:sdtContent>
    </w:sdt>
    <w:r w:rsidR="007C03DE">
      <w:ptab w:relativeTo="margin" w:alignment="center" w:leader="none"/>
    </w:r>
    <w:sdt>
      <w:sdtPr>
        <w:id w:val="-950462990"/>
        <w:temporary/>
        <w:showingPlcHdr/>
      </w:sdtPr>
      <w:sdtContent>
        <w:r w:rsidR="007C03DE">
          <w:rPr>
            <w:lang w:val="fr-FR"/>
          </w:rPr>
          <w:t>[Tapez le texte]</w:t>
        </w:r>
      </w:sdtContent>
    </w:sdt>
    <w:r w:rsidR="007C03DE">
      <w:ptab w:relativeTo="margin" w:alignment="right" w:leader="none"/>
    </w:r>
    <w:sdt>
      <w:sdtPr>
        <w:id w:val="1009652270"/>
        <w:temporary/>
        <w:showingPlcHdr/>
      </w:sdtPr>
      <w:sdtContent>
        <w:r w:rsidR="007C03DE">
          <w:rPr>
            <w:lang w:val="fr-FR"/>
          </w:rPr>
          <w:t>[Tapez le texte]</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58C2" w14:textId="77777777" w:rsidR="007C03DE" w:rsidRPr="00F65C52" w:rsidRDefault="007C03DE" w:rsidP="00F65C52">
    <w:pPr>
      <w:pStyle w:val="Footer"/>
      <w:ind w:firstLine="360"/>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C4CC6" w14:textId="77777777" w:rsidR="007C03DE" w:rsidRDefault="007C03DE" w:rsidP="0011798A">
    <w:pPr>
      <w:tabs>
        <w:tab w:val="left" w:pos="85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51D46" w14:textId="77777777" w:rsidR="00DA6E2D" w:rsidRDefault="00DA6E2D">
      <w:r>
        <w:separator/>
      </w:r>
    </w:p>
  </w:footnote>
  <w:footnote w:type="continuationSeparator" w:id="0">
    <w:p w14:paraId="6A31F158" w14:textId="77777777" w:rsidR="00DA6E2D" w:rsidRDefault="00DA6E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54E9"/>
    <w:multiLevelType w:val="multilevel"/>
    <w:tmpl w:val="94445E8C"/>
    <w:lvl w:ilvl="0">
      <w:start w:val="1"/>
      <w:numFmt w:val="decimal"/>
      <w:lvlText w:val="%1"/>
      <w:lvlJc w:val="left"/>
      <w:pPr>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0"/>
        </w:tabs>
        <w:ind w:left="0" w:firstLine="0"/>
      </w:pPr>
      <w:rPr>
        <w:rFonts w:ascii="Times New Roman" w:eastAsia="Times New Roman" w:hAnsi="Times New Roman" w:hint="default"/>
        <w:b/>
        <w:bCs/>
        <w:w w:val="99"/>
        <w:sz w:val="24"/>
        <w:szCs w:val="22"/>
      </w:rPr>
    </w:lvl>
    <w:lvl w:ilvl="2">
      <w:start w:val="1"/>
      <w:numFmt w:val="none"/>
      <w:lvlText w:val=""/>
      <w:lvlJc w:val="left"/>
      <w:pPr>
        <w:tabs>
          <w:tab w:val="num" w:pos="0"/>
        </w:tabs>
        <w:ind w:left="0" w:firstLine="0"/>
      </w:pPr>
      <w:rPr>
        <w:rFonts w:ascii="Times New Roman" w:hAnsi="Times New Roman" w:hint="default"/>
        <w:b/>
        <w:sz w:val="20"/>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1" w15:restartNumberingAfterBreak="0">
    <w:nsid w:val="0A72646D"/>
    <w:multiLevelType w:val="multilevel"/>
    <w:tmpl w:val="4E88346E"/>
    <w:lvl w:ilvl="0">
      <w:start w:val="1"/>
      <w:numFmt w:val="decimal"/>
      <w:lvlText w:val="%1"/>
      <w:lvlJc w:val="left"/>
      <w:pPr>
        <w:tabs>
          <w:tab w:val="num" w:pos="360"/>
        </w:tabs>
        <w:ind w:left="0" w:firstLine="0"/>
      </w:pPr>
      <w:rPr>
        <w:rFonts w:ascii="Times New Roman" w:eastAsia="Times New Roman" w:hAnsi="Times New Roman" w:hint="default"/>
        <w:b/>
        <w:bCs/>
        <w:w w:val="99"/>
        <w:sz w:val="24"/>
        <w:szCs w:val="24"/>
      </w:rPr>
    </w:lvl>
    <w:lvl w:ilvl="1">
      <w:start w:val="1"/>
      <w:numFmt w:val="decimal"/>
      <w:pStyle w:val="Heading2"/>
      <w:lvlText w:val="%1.%2"/>
      <w:lvlJc w:val="left"/>
      <w:pPr>
        <w:tabs>
          <w:tab w:val="num" w:pos="0"/>
        </w:tabs>
        <w:ind w:left="0" w:firstLine="0"/>
      </w:pPr>
      <w:rPr>
        <w:rFonts w:ascii="Times New Roman" w:eastAsia="Times New Roman" w:hAnsi="Times New Roman" w:hint="default"/>
        <w:b/>
        <w:bCs/>
        <w:w w:val="99"/>
        <w:sz w:val="22"/>
        <w:szCs w:val="22"/>
      </w:rPr>
    </w:lvl>
    <w:lvl w:ilvl="2">
      <w:start w:val="1"/>
      <w:numFmt w:val="none"/>
      <w:lvlText w:val=""/>
      <w:lvlJc w:val="left"/>
      <w:pPr>
        <w:tabs>
          <w:tab w:val="num" w:pos="0"/>
        </w:tabs>
        <w:ind w:left="0" w:firstLine="0"/>
      </w:pPr>
      <w:rPr>
        <w:rFonts w:hint="default"/>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2" w15:restartNumberingAfterBreak="0">
    <w:nsid w:val="0B9634C7"/>
    <w:multiLevelType w:val="multilevel"/>
    <w:tmpl w:val="2304D066"/>
    <w:lvl w:ilvl="0">
      <w:start w:val="1"/>
      <w:numFmt w:val="decimal"/>
      <w:lvlText w:val="%1"/>
      <w:lvlJc w:val="left"/>
      <w:pPr>
        <w:ind w:left="359" w:hanging="359"/>
      </w:pPr>
      <w:rPr>
        <w:rFonts w:ascii="Times New Roman" w:eastAsia="Times New Roman" w:hAnsi="Times New Roman" w:hint="default"/>
        <w:b/>
        <w:bCs/>
        <w:w w:val="99"/>
        <w:sz w:val="24"/>
        <w:szCs w:val="24"/>
      </w:rPr>
    </w:lvl>
    <w:lvl w:ilvl="1">
      <w:start w:val="1"/>
      <w:numFmt w:val="decimal"/>
      <w:lvlText w:val="%1.%2"/>
      <w:lvlJc w:val="left"/>
      <w:pPr>
        <w:ind w:left="494" w:hanging="494"/>
      </w:pPr>
      <w:rPr>
        <w:rFonts w:ascii="Times New Roman" w:eastAsia="Times New Roman" w:hAnsi="Times New Roman" w:hint="default"/>
        <w:b/>
        <w:bCs/>
        <w:w w:val="99"/>
        <w:sz w:val="22"/>
        <w:szCs w:val="22"/>
      </w:rPr>
    </w:lvl>
    <w:lvl w:ilvl="2">
      <w:start w:val="1"/>
      <w:numFmt w:val="bullet"/>
      <w:lvlText w:val="•"/>
      <w:lvlJc w:val="left"/>
      <w:pPr>
        <w:ind w:left="494" w:hanging="494"/>
      </w:pPr>
      <w:rPr>
        <w:rFonts w:hint="default"/>
      </w:rPr>
    </w:lvl>
    <w:lvl w:ilvl="3">
      <w:start w:val="1"/>
      <w:numFmt w:val="bullet"/>
      <w:lvlText w:val="•"/>
      <w:lvlJc w:val="left"/>
      <w:pPr>
        <w:ind w:left="385" w:hanging="494"/>
      </w:pPr>
      <w:rPr>
        <w:rFonts w:hint="default"/>
      </w:rPr>
    </w:lvl>
    <w:lvl w:ilvl="4">
      <w:start w:val="1"/>
      <w:numFmt w:val="bullet"/>
      <w:lvlText w:val="•"/>
      <w:lvlJc w:val="left"/>
      <w:pPr>
        <w:ind w:left="275" w:hanging="494"/>
      </w:pPr>
      <w:rPr>
        <w:rFonts w:hint="default"/>
      </w:rPr>
    </w:lvl>
    <w:lvl w:ilvl="5">
      <w:start w:val="1"/>
      <w:numFmt w:val="bullet"/>
      <w:lvlText w:val="•"/>
      <w:lvlJc w:val="left"/>
      <w:pPr>
        <w:ind w:left="166" w:hanging="494"/>
      </w:pPr>
      <w:rPr>
        <w:rFonts w:hint="default"/>
      </w:rPr>
    </w:lvl>
    <w:lvl w:ilvl="6">
      <w:start w:val="1"/>
      <w:numFmt w:val="bullet"/>
      <w:lvlText w:val="•"/>
      <w:lvlJc w:val="left"/>
      <w:pPr>
        <w:ind w:left="57" w:hanging="494"/>
      </w:pPr>
      <w:rPr>
        <w:rFonts w:hint="default"/>
      </w:rPr>
    </w:lvl>
    <w:lvl w:ilvl="7">
      <w:start w:val="1"/>
      <w:numFmt w:val="bullet"/>
      <w:lvlText w:val="•"/>
      <w:lvlJc w:val="left"/>
      <w:pPr>
        <w:ind w:left="-52" w:hanging="494"/>
      </w:pPr>
      <w:rPr>
        <w:rFonts w:hint="default"/>
      </w:rPr>
    </w:lvl>
    <w:lvl w:ilvl="8">
      <w:start w:val="1"/>
      <w:numFmt w:val="bullet"/>
      <w:lvlText w:val="•"/>
      <w:lvlJc w:val="left"/>
      <w:pPr>
        <w:ind w:left="-161" w:hanging="494"/>
      </w:pPr>
      <w:rPr>
        <w:rFonts w:hint="default"/>
      </w:rPr>
    </w:lvl>
  </w:abstractNum>
  <w:abstractNum w:abstractNumId="3" w15:restartNumberingAfterBreak="0">
    <w:nsid w:val="12BE3050"/>
    <w:multiLevelType w:val="multilevel"/>
    <w:tmpl w:val="5EDC7A0A"/>
    <w:lvl w:ilvl="0">
      <w:start w:val="1"/>
      <w:numFmt w:val="decimal"/>
      <w:lvlText w:val="%1"/>
      <w:lvlJc w:val="left"/>
      <w:pPr>
        <w:tabs>
          <w:tab w:val="num" w:pos="720"/>
        </w:tabs>
        <w:ind w:left="0" w:firstLine="0"/>
      </w:pPr>
      <w:rPr>
        <w:rFonts w:ascii="Times New Roman" w:hAnsi="Times New Roman"/>
        <w:b/>
        <w:sz w:val="20"/>
      </w:rPr>
    </w:lvl>
    <w:lvl w:ilvl="1">
      <w:start w:val="1"/>
      <w:numFmt w:val="decimal"/>
      <w:lvlText w:val="%1.%2"/>
      <w:lvlJc w:val="left"/>
      <w:pPr>
        <w:tabs>
          <w:tab w:val="num" w:pos="720"/>
        </w:tabs>
        <w:ind w:left="0" w:firstLine="0"/>
      </w:pPr>
      <w:rPr>
        <w:rFonts w:ascii="Times New Roman" w:hAnsi="Times New Roman" w:hint="default"/>
        <w:b/>
        <w:sz w:val="20"/>
      </w:rPr>
    </w:lvl>
    <w:lvl w:ilvl="2">
      <w:start w:val="1"/>
      <w:numFmt w:val="none"/>
      <w:lvlText w:val=""/>
      <w:lvlJc w:val="left"/>
      <w:pPr>
        <w:tabs>
          <w:tab w:val="num" w:pos="0"/>
        </w:tabs>
        <w:ind w:left="0" w:firstLine="0"/>
      </w:pPr>
      <w:rPr>
        <w:rFonts w:ascii="Times New Roman" w:hAnsi="Times New Roman" w:hint="default"/>
        <w:b/>
        <w:sz w:val="20"/>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 w15:restartNumberingAfterBreak="0">
    <w:nsid w:val="15062ECF"/>
    <w:multiLevelType w:val="multilevel"/>
    <w:tmpl w:val="750A9AAA"/>
    <w:lvl w:ilvl="0">
      <w:start w:val="1"/>
      <w:numFmt w:val="decimal"/>
      <w:lvlText w:val="%1"/>
      <w:lvlJc w:val="left"/>
      <w:pPr>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0"/>
        </w:tabs>
        <w:ind w:left="0" w:firstLine="0"/>
      </w:pPr>
      <w:rPr>
        <w:rFonts w:ascii="Times New Roman" w:eastAsia="Times New Roman" w:hAnsi="Times New Roman" w:hint="default"/>
        <w:b/>
        <w:bCs/>
        <w:w w:val="99"/>
        <w:sz w:val="24"/>
        <w:szCs w:val="22"/>
      </w:rPr>
    </w:lvl>
    <w:lvl w:ilvl="2">
      <w:start w:val="1"/>
      <w:numFmt w:val="none"/>
      <w:lvlText w:val=""/>
      <w:lvlJc w:val="left"/>
      <w:pPr>
        <w:tabs>
          <w:tab w:val="num" w:pos="0"/>
        </w:tabs>
        <w:ind w:left="0" w:firstLine="0"/>
      </w:pPr>
      <w:rPr>
        <w:rFonts w:ascii="Times New Roman" w:hAnsi="Times New Roman" w:hint="default"/>
        <w:b/>
        <w:sz w:val="20"/>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5" w15:restartNumberingAfterBreak="0">
    <w:nsid w:val="15CE30D8"/>
    <w:multiLevelType w:val="multilevel"/>
    <w:tmpl w:val="E49242BE"/>
    <w:lvl w:ilvl="0">
      <w:start w:val="1"/>
      <w:numFmt w:val="decimal"/>
      <w:lvlText w:val="%1"/>
      <w:lvlJc w:val="left"/>
      <w:pPr>
        <w:tabs>
          <w:tab w:val="num" w:pos="360"/>
        </w:tabs>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360"/>
        </w:tabs>
        <w:ind w:left="0" w:firstLine="0"/>
      </w:pPr>
      <w:rPr>
        <w:rFonts w:ascii="Times New Roman" w:eastAsia="Times New Roman" w:hAnsi="Times New Roman" w:hint="default"/>
        <w:b/>
        <w:bCs/>
        <w:w w:val="99"/>
        <w:sz w:val="22"/>
        <w:szCs w:val="22"/>
      </w:rPr>
    </w:lvl>
    <w:lvl w:ilvl="2">
      <w:start w:val="1"/>
      <w:numFmt w:val="none"/>
      <w:lvlText w:val=""/>
      <w:lvlJc w:val="left"/>
      <w:pPr>
        <w:tabs>
          <w:tab w:val="num" w:pos="360"/>
        </w:tabs>
        <w:ind w:left="0" w:firstLine="0"/>
      </w:pPr>
      <w:rPr>
        <w:rFonts w:hint="default"/>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6" w15:restartNumberingAfterBreak="0">
    <w:nsid w:val="17890CDB"/>
    <w:multiLevelType w:val="multilevel"/>
    <w:tmpl w:val="2D3A6CCA"/>
    <w:lvl w:ilvl="0">
      <w:start w:val="1"/>
      <w:numFmt w:val="decimal"/>
      <w:lvlText w:val="%1"/>
      <w:lvlJc w:val="left"/>
      <w:pPr>
        <w:tabs>
          <w:tab w:val="num" w:pos="360"/>
        </w:tabs>
        <w:ind w:left="0" w:firstLine="0"/>
      </w:pPr>
      <w:rPr>
        <w:rFonts w:ascii="Times New Roman" w:hAnsi="Times New Roman"/>
        <w:b/>
      </w:rPr>
    </w:lvl>
    <w:lvl w:ilvl="1">
      <w:start w:val="1"/>
      <w:numFmt w:val="decimal"/>
      <w:lvlText w:val="%1.%2"/>
      <w:lvlJc w:val="left"/>
      <w:pPr>
        <w:tabs>
          <w:tab w:val="num" w:pos="720"/>
        </w:tabs>
        <w:ind w:left="0" w:firstLine="0"/>
      </w:pPr>
      <w:rPr>
        <w:rFonts w:ascii="Times New Roman" w:hAnsi="Times New Roman" w:hint="default"/>
        <w:b/>
        <w:sz w:val="20"/>
      </w:rPr>
    </w:lvl>
    <w:lvl w:ilvl="2">
      <w:start w:val="1"/>
      <w:numFmt w:val="none"/>
      <w:lvlText w:val=""/>
      <w:lvlJc w:val="left"/>
      <w:pPr>
        <w:tabs>
          <w:tab w:val="num" w:pos="0"/>
        </w:tabs>
        <w:ind w:left="0" w:firstLine="0"/>
      </w:pPr>
      <w:rPr>
        <w:rFonts w:ascii="Times New Roman" w:hAnsi="Times New Roman" w:hint="default"/>
        <w:b/>
        <w:sz w:val="20"/>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 w15:restartNumberingAfterBreak="0">
    <w:nsid w:val="192717DA"/>
    <w:multiLevelType w:val="multilevel"/>
    <w:tmpl w:val="FA285EF2"/>
    <w:styleLink w:val="JCAAsections"/>
    <w:lvl w:ilvl="0">
      <w:start w:val="1"/>
      <w:numFmt w:val="decimal"/>
      <w:pStyle w:val="JCAAsection1"/>
      <w:lvlText w:val="%1"/>
      <w:lvlJc w:val="left"/>
      <w:pPr>
        <w:tabs>
          <w:tab w:val="num" w:pos="360"/>
        </w:tabs>
        <w:ind w:left="0" w:firstLine="0"/>
      </w:pPr>
      <w:rPr>
        <w:rFonts w:hint="default"/>
      </w:rPr>
    </w:lvl>
    <w:lvl w:ilvl="1">
      <w:start w:val="1"/>
      <w:numFmt w:val="decimal"/>
      <w:pStyle w:val="JCAAsection2"/>
      <w:lvlText w:val="%1.%2"/>
      <w:lvlJc w:val="left"/>
      <w:pPr>
        <w:tabs>
          <w:tab w:val="num" w:pos="504"/>
        </w:tabs>
        <w:ind w:left="0" w:firstLine="0"/>
      </w:pPr>
      <w:rPr>
        <w:rFonts w:hint="default"/>
      </w:rPr>
    </w:lvl>
    <w:lvl w:ilvl="2">
      <w:start w:val="1"/>
      <w:numFmt w:val="none"/>
      <w:pStyle w:val="JCAAsection3"/>
      <w:suff w:val="nothing"/>
      <w:lvlText w:val="%3"/>
      <w:lvlJc w:val="left"/>
      <w:pPr>
        <w:ind w:left="0" w:firstLine="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8" w15:restartNumberingAfterBreak="0">
    <w:nsid w:val="1AAD2020"/>
    <w:multiLevelType w:val="multilevel"/>
    <w:tmpl w:val="2D3A6CCA"/>
    <w:lvl w:ilvl="0">
      <w:start w:val="1"/>
      <w:numFmt w:val="decimal"/>
      <w:lvlText w:val="%1"/>
      <w:lvlJc w:val="left"/>
      <w:pPr>
        <w:tabs>
          <w:tab w:val="num" w:pos="360"/>
        </w:tabs>
        <w:ind w:left="0" w:firstLine="0"/>
      </w:pPr>
      <w:rPr>
        <w:rFonts w:ascii="Times New Roman" w:hAnsi="Times New Roman"/>
        <w:b/>
      </w:rPr>
    </w:lvl>
    <w:lvl w:ilvl="1">
      <w:start w:val="1"/>
      <w:numFmt w:val="decimal"/>
      <w:lvlText w:val="%1.%2"/>
      <w:lvlJc w:val="left"/>
      <w:pPr>
        <w:tabs>
          <w:tab w:val="num" w:pos="720"/>
        </w:tabs>
        <w:ind w:left="0" w:firstLine="0"/>
      </w:pPr>
      <w:rPr>
        <w:rFonts w:ascii="Times New Roman" w:hAnsi="Times New Roman" w:hint="default"/>
        <w:b/>
        <w:sz w:val="20"/>
      </w:rPr>
    </w:lvl>
    <w:lvl w:ilvl="2">
      <w:start w:val="1"/>
      <w:numFmt w:val="none"/>
      <w:lvlText w:val=""/>
      <w:lvlJc w:val="left"/>
      <w:pPr>
        <w:tabs>
          <w:tab w:val="num" w:pos="0"/>
        </w:tabs>
        <w:ind w:left="0" w:firstLine="0"/>
      </w:pPr>
      <w:rPr>
        <w:rFonts w:ascii="Times New Roman" w:hAnsi="Times New Roman" w:hint="default"/>
        <w:b/>
        <w:sz w:val="20"/>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9" w15:restartNumberingAfterBreak="0">
    <w:nsid w:val="1DBB525B"/>
    <w:multiLevelType w:val="multilevel"/>
    <w:tmpl w:val="19A0835A"/>
    <w:lvl w:ilvl="0">
      <w:start w:val="1"/>
      <w:numFmt w:val="decimal"/>
      <w:lvlText w:val="%1"/>
      <w:lvlJc w:val="left"/>
      <w:pPr>
        <w:tabs>
          <w:tab w:val="num" w:pos="360"/>
        </w:tabs>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504"/>
        </w:tabs>
        <w:ind w:left="0" w:firstLine="0"/>
      </w:pPr>
      <w:rPr>
        <w:rFonts w:ascii="Times New Roman" w:eastAsia="Times New Roman" w:hAnsi="Times New Roman" w:hint="default"/>
        <w:b/>
        <w:bCs/>
        <w:w w:val="99"/>
        <w:sz w:val="24"/>
        <w:szCs w:val="22"/>
      </w:rPr>
    </w:lvl>
    <w:lvl w:ilvl="2">
      <w:start w:val="1"/>
      <w:numFmt w:val="none"/>
      <w:lvlText w:val=""/>
      <w:lvlJc w:val="left"/>
      <w:pPr>
        <w:tabs>
          <w:tab w:val="num" w:pos="0"/>
        </w:tabs>
        <w:ind w:left="0" w:firstLine="0"/>
      </w:pPr>
      <w:rPr>
        <w:rFonts w:ascii="Times New Roman" w:hAnsi="Times New Roman" w:hint="default"/>
        <w:b/>
        <w:sz w:val="20"/>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10" w15:restartNumberingAfterBreak="0">
    <w:nsid w:val="2120706F"/>
    <w:multiLevelType w:val="multilevel"/>
    <w:tmpl w:val="2D3A6CCA"/>
    <w:lvl w:ilvl="0">
      <w:start w:val="1"/>
      <w:numFmt w:val="decimal"/>
      <w:lvlText w:val="%1"/>
      <w:lvlJc w:val="left"/>
      <w:pPr>
        <w:tabs>
          <w:tab w:val="num" w:pos="360"/>
        </w:tabs>
        <w:ind w:left="0" w:firstLine="0"/>
      </w:pPr>
      <w:rPr>
        <w:rFonts w:ascii="Times New Roman" w:hAnsi="Times New Roman"/>
        <w:b/>
      </w:rPr>
    </w:lvl>
    <w:lvl w:ilvl="1">
      <w:start w:val="1"/>
      <w:numFmt w:val="decimal"/>
      <w:lvlText w:val="%1.%2"/>
      <w:lvlJc w:val="left"/>
      <w:pPr>
        <w:tabs>
          <w:tab w:val="num" w:pos="720"/>
        </w:tabs>
        <w:ind w:left="0" w:firstLine="0"/>
      </w:pPr>
      <w:rPr>
        <w:rFonts w:ascii="Times New Roman" w:hAnsi="Times New Roman" w:hint="default"/>
        <w:b/>
        <w:sz w:val="20"/>
      </w:rPr>
    </w:lvl>
    <w:lvl w:ilvl="2">
      <w:start w:val="1"/>
      <w:numFmt w:val="none"/>
      <w:lvlText w:val=""/>
      <w:lvlJc w:val="left"/>
      <w:pPr>
        <w:tabs>
          <w:tab w:val="num" w:pos="0"/>
        </w:tabs>
        <w:ind w:left="0" w:firstLine="0"/>
      </w:pPr>
      <w:rPr>
        <w:rFonts w:ascii="Times New Roman" w:hAnsi="Times New Roman" w:hint="default"/>
        <w:b/>
        <w:sz w:val="20"/>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1" w15:restartNumberingAfterBreak="0">
    <w:nsid w:val="24F92FDD"/>
    <w:multiLevelType w:val="multilevel"/>
    <w:tmpl w:val="2D3A6CCA"/>
    <w:lvl w:ilvl="0">
      <w:start w:val="1"/>
      <w:numFmt w:val="decimal"/>
      <w:lvlText w:val="%1"/>
      <w:lvlJc w:val="left"/>
      <w:pPr>
        <w:tabs>
          <w:tab w:val="num" w:pos="360"/>
        </w:tabs>
        <w:ind w:left="0" w:firstLine="0"/>
      </w:pPr>
      <w:rPr>
        <w:rFonts w:ascii="Times New Roman" w:hAnsi="Times New Roman"/>
        <w:b/>
      </w:rPr>
    </w:lvl>
    <w:lvl w:ilvl="1">
      <w:start w:val="1"/>
      <w:numFmt w:val="decimal"/>
      <w:lvlText w:val="%1.%2"/>
      <w:lvlJc w:val="left"/>
      <w:pPr>
        <w:tabs>
          <w:tab w:val="num" w:pos="720"/>
        </w:tabs>
        <w:ind w:left="0" w:firstLine="0"/>
      </w:pPr>
      <w:rPr>
        <w:rFonts w:ascii="Times New Roman" w:hAnsi="Times New Roman" w:hint="default"/>
        <w:b/>
        <w:sz w:val="20"/>
      </w:rPr>
    </w:lvl>
    <w:lvl w:ilvl="2">
      <w:start w:val="1"/>
      <w:numFmt w:val="none"/>
      <w:lvlText w:val=""/>
      <w:lvlJc w:val="left"/>
      <w:pPr>
        <w:tabs>
          <w:tab w:val="num" w:pos="0"/>
        </w:tabs>
        <w:ind w:left="0" w:firstLine="0"/>
      </w:pPr>
      <w:rPr>
        <w:rFonts w:ascii="Times New Roman" w:hAnsi="Times New Roman" w:hint="default"/>
        <w:b/>
        <w:sz w:val="20"/>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2" w15:restartNumberingAfterBreak="0">
    <w:nsid w:val="2A8F664D"/>
    <w:multiLevelType w:val="multilevel"/>
    <w:tmpl w:val="750A9AAA"/>
    <w:lvl w:ilvl="0">
      <w:start w:val="1"/>
      <w:numFmt w:val="decimal"/>
      <w:lvlText w:val="%1"/>
      <w:lvlJc w:val="left"/>
      <w:pPr>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0"/>
        </w:tabs>
        <w:ind w:left="0" w:firstLine="0"/>
      </w:pPr>
      <w:rPr>
        <w:rFonts w:ascii="Times New Roman" w:eastAsia="Times New Roman" w:hAnsi="Times New Roman" w:hint="default"/>
        <w:b/>
        <w:bCs/>
        <w:w w:val="99"/>
        <w:sz w:val="24"/>
        <w:szCs w:val="22"/>
      </w:rPr>
    </w:lvl>
    <w:lvl w:ilvl="2">
      <w:start w:val="1"/>
      <w:numFmt w:val="none"/>
      <w:lvlText w:val=""/>
      <w:lvlJc w:val="left"/>
      <w:pPr>
        <w:tabs>
          <w:tab w:val="num" w:pos="0"/>
        </w:tabs>
        <w:ind w:left="0" w:firstLine="0"/>
      </w:pPr>
      <w:rPr>
        <w:rFonts w:ascii="Times New Roman" w:hAnsi="Times New Roman" w:hint="default"/>
        <w:b/>
        <w:sz w:val="20"/>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13" w15:restartNumberingAfterBreak="0">
    <w:nsid w:val="2F5807CF"/>
    <w:multiLevelType w:val="multilevel"/>
    <w:tmpl w:val="1AEC301E"/>
    <w:lvl w:ilvl="0">
      <w:start w:val="1"/>
      <w:numFmt w:val="decimal"/>
      <w:lvlText w:val="%1"/>
      <w:lvlJc w:val="left"/>
      <w:pPr>
        <w:tabs>
          <w:tab w:val="num" w:pos="360"/>
        </w:tabs>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360"/>
        </w:tabs>
        <w:ind w:left="0" w:firstLine="0"/>
      </w:pPr>
      <w:rPr>
        <w:rFonts w:ascii="Times New Roman" w:eastAsia="Times New Roman" w:hAnsi="Times New Roman" w:hint="default"/>
        <w:b/>
        <w:bCs/>
        <w:w w:val="99"/>
        <w:sz w:val="22"/>
        <w:szCs w:val="22"/>
      </w:rPr>
    </w:lvl>
    <w:lvl w:ilvl="2">
      <w:start w:val="1"/>
      <w:numFmt w:val="none"/>
      <w:lvlText w:val=""/>
      <w:lvlJc w:val="left"/>
      <w:pPr>
        <w:tabs>
          <w:tab w:val="num" w:pos="360"/>
        </w:tabs>
        <w:ind w:left="0" w:firstLine="0"/>
      </w:pPr>
      <w:rPr>
        <w:rFonts w:hint="default"/>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14" w15:restartNumberingAfterBreak="0">
    <w:nsid w:val="3051616D"/>
    <w:multiLevelType w:val="multilevel"/>
    <w:tmpl w:val="F4A03888"/>
    <w:lvl w:ilvl="0">
      <w:start w:val="1"/>
      <w:numFmt w:val="decimal"/>
      <w:lvlText w:val="%1"/>
      <w:lvlJc w:val="left"/>
      <w:pPr>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0"/>
        </w:tabs>
        <w:ind w:left="0" w:firstLine="0"/>
      </w:pPr>
      <w:rPr>
        <w:rFonts w:ascii="Times New Roman" w:eastAsia="Times New Roman" w:hAnsi="Times New Roman" w:hint="default"/>
        <w:b/>
        <w:bCs/>
        <w:w w:val="99"/>
        <w:sz w:val="22"/>
        <w:szCs w:val="22"/>
      </w:rPr>
    </w:lvl>
    <w:lvl w:ilvl="2">
      <w:start w:val="1"/>
      <w:numFmt w:val="none"/>
      <w:lvlText w:val=""/>
      <w:lvlJc w:val="left"/>
      <w:pPr>
        <w:tabs>
          <w:tab w:val="num" w:pos="0"/>
        </w:tabs>
        <w:ind w:left="0" w:firstLine="0"/>
      </w:pPr>
      <w:rPr>
        <w:rFonts w:hint="default"/>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15" w15:restartNumberingAfterBreak="0">
    <w:nsid w:val="36354FD3"/>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37294BDB"/>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37CD6798"/>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C766D7"/>
    <w:multiLevelType w:val="multilevel"/>
    <w:tmpl w:val="7FCC1A14"/>
    <w:lvl w:ilvl="0">
      <w:start w:val="1"/>
      <w:numFmt w:val="decimal"/>
      <w:lvlText w:val="%1"/>
      <w:lvlJc w:val="left"/>
      <w:pPr>
        <w:tabs>
          <w:tab w:val="num" w:pos="360"/>
        </w:tabs>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720"/>
        </w:tabs>
        <w:ind w:left="0" w:firstLine="0"/>
      </w:pPr>
      <w:rPr>
        <w:rFonts w:ascii="Times New Roman" w:eastAsia="Times New Roman" w:hAnsi="Times New Roman" w:hint="default"/>
        <w:b/>
        <w:bCs/>
        <w:w w:val="99"/>
        <w:sz w:val="22"/>
        <w:szCs w:val="22"/>
      </w:rPr>
    </w:lvl>
    <w:lvl w:ilvl="2">
      <w:start w:val="1"/>
      <w:numFmt w:val="none"/>
      <w:lvlText w:val=""/>
      <w:lvlJc w:val="left"/>
      <w:pPr>
        <w:tabs>
          <w:tab w:val="num" w:pos="360"/>
        </w:tabs>
        <w:ind w:left="0" w:firstLine="0"/>
      </w:pPr>
      <w:rPr>
        <w:rFonts w:hint="default"/>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19" w15:restartNumberingAfterBreak="0">
    <w:nsid w:val="3F2E063C"/>
    <w:multiLevelType w:val="multilevel"/>
    <w:tmpl w:val="E2D47C78"/>
    <w:lvl w:ilvl="0">
      <w:start w:val="1"/>
      <w:numFmt w:val="decimal"/>
      <w:lvlText w:val="%1"/>
      <w:lvlJc w:val="left"/>
      <w:pPr>
        <w:tabs>
          <w:tab w:val="num" w:pos="360"/>
        </w:tabs>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720"/>
        </w:tabs>
        <w:ind w:left="0" w:firstLine="0"/>
      </w:pPr>
      <w:rPr>
        <w:rFonts w:ascii="Times New Roman" w:eastAsia="Times New Roman" w:hAnsi="Times New Roman" w:hint="default"/>
        <w:b/>
        <w:bCs/>
        <w:w w:val="99"/>
        <w:sz w:val="22"/>
        <w:szCs w:val="22"/>
      </w:rPr>
    </w:lvl>
    <w:lvl w:ilvl="2">
      <w:start w:val="1"/>
      <w:numFmt w:val="none"/>
      <w:lvlText w:val=""/>
      <w:lvlJc w:val="left"/>
      <w:pPr>
        <w:tabs>
          <w:tab w:val="num" w:pos="360"/>
        </w:tabs>
        <w:ind w:left="0" w:firstLine="0"/>
      </w:pPr>
      <w:rPr>
        <w:rFonts w:hint="default"/>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20" w15:restartNumberingAfterBreak="0">
    <w:nsid w:val="42D9421C"/>
    <w:multiLevelType w:val="multilevel"/>
    <w:tmpl w:val="7556D9B2"/>
    <w:lvl w:ilvl="0">
      <w:start w:val="1"/>
      <w:numFmt w:val="decimal"/>
      <w:lvlText w:val="%1"/>
      <w:lvlJc w:val="left"/>
      <w:pPr>
        <w:tabs>
          <w:tab w:val="num" w:pos="360"/>
        </w:tabs>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720"/>
        </w:tabs>
        <w:ind w:left="0" w:firstLine="0"/>
      </w:pPr>
      <w:rPr>
        <w:rFonts w:ascii="Times New Roman" w:eastAsia="Times New Roman" w:hAnsi="Times New Roman" w:hint="default"/>
        <w:b/>
        <w:bCs/>
        <w:w w:val="99"/>
        <w:sz w:val="22"/>
        <w:szCs w:val="22"/>
      </w:rPr>
    </w:lvl>
    <w:lvl w:ilvl="2">
      <w:start w:val="1"/>
      <w:numFmt w:val="none"/>
      <w:lvlText w:val=""/>
      <w:lvlJc w:val="left"/>
      <w:pPr>
        <w:tabs>
          <w:tab w:val="num" w:pos="360"/>
        </w:tabs>
        <w:ind w:left="0" w:firstLine="0"/>
      </w:pPr>
      <w:rPr>
        <w:rFonts w:hint="default"/>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21" w15:restartNumberingAfterBreak="0">
    <w:nsid w:val="4E376848"/>
    <w:multiLevelType w:val="multilevel"/>
    <w:tmpl w:val="7FCC1A14"/>
    <w:lvl w:ilvl="0">
      <w:start w:val="1"/>
      <w:numFmt w:val="decimal"/>
      <w:lvlText w:val="%1"/>
      <w:lvlJc w:val="left"/>
      <w:pPr>
        <w:tabs>
          <w:tab w:val="num" w:pos="360"/>
        </w:tabs>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720"/>
        </w:tabs>
        <w:ind w:left="0" w:firstLine="0"/>
      </w:pPr>
      <w:rPr>
        <w:rFonts w:ascii="Times New Roman" w:eastAsia="Times New Roman" w:hAnsi="Times New Roman" w:hint="default"/>
        <w:b/>
        <w:bCs/>
        <w:w w:val="99"/>
        <w:sz w:val="22"/>
        <w:szCs w:val="22"/>
      </w:rPr>
    </w:lvl>
    <w:lvl w:ilvl="2">
      <w:start w:val="1"/>
      <w:numFmt w:val="none"/>
      <w:lvlText w:val=""/>
      <w:lvlJc w:val="left"/>
      <w:pPr>
        <w:tabs>
          <w:tab w:val="num" w:pos="360"/>
        </w:tabs>
        <w:ind w:left="0" w:firstLine="0"/>
      </w:pPr>
      <w:rPr>
        <w:rFonts w:hint="default"/>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22" w15:restartNumberingAfterBreak="0">
    <w:nsid w:val="5BC01A80"/>
    <w:multiLevelType w:val="multilevel"/>
    <w:tmpl w:val="6692782C"/>
    <w:lvl w:ilvl="0">
      <w:start w:val="1"/>
      <w:numFmt w:val="decimal"/>
      <w:lvlText w:val="%1"/>
      <w:lvlJc w:val="left"/>
      <w:pPr>
        <w:ind w:left="478" w:hanging="359"/>
      </w:pPr>
      <w:rPr>
        <w:rFonts w:ascii="Times New Roman" w:eastAsia="Times New Roman" w:hAnsi="Times New Roman" w:hint="default"/>
        <w:b/>
        <w:bCs/>
        <w:w w:val="99"/>
        <w:sz w:val="24"/>
        <w:szCs w:val="24"/>
      </w:rPr>
    </w:lvl>
    <w:lvl w:ilvl="1">
      <w:start w:val="1"/>
      <w:numFmt w:val="decimal"/>
      <w:lvlText w:val="%1.%2"/>
      <w:lvlJc w:val="left"/>
      <w:pPr>
        <w:ind w:left="613" w:hanging="494"/>
      </w:pPr>
      <w:rPr>
        <w:rFonts w:ascii="Times New Roman" w:eastAsia="Times New Roman" w:hAnsi="Times New Roman" w:hint="default"/>
        <w:b/>
        <w:bCs/>
        <w:w w:val="99"/>
        <w:sz w:val="22"/>
        <w:szCs w:val="22"/>
      </w:rPr>
    </w:lvl>
    <w:lvl w:ilvl="2">
      <w:start w:val="1"/>
      <w:numFmt w:val="bullet"/>
      <w:lvlText w:val="•"/>
      <w:lvlJc w:val="left"/>
      <w:pPr>
        <w:ind w:left="613" w:hanging="494"/>
      </w:pPr>
      <w:rPr>
        <w:rFonts w:hint="default"/>
      </w:rPr>
    </w:lvl>
    <w:lvl w:ilvl="3">
      <w:start w:val="1"/>
      <w:numFmt w:val="bullet"/>
      <w:lvlText w:val="•"/>
      <w:lvlJc w:val="left"/>
      <w:pPr>
        <w:ind w:left="504" w:hanging="494"/>
      </w:pPr>
      <w:rPr>
        <w:rFonts w:hint="default"/>
      </w:rPr>
    </w:lvl>
    <w:lvl w:ilvl="4">
      <w:start w:val="1"/>
      <w:numFmt w:val="bullet"/>
      <w:lvlText w:val="•"/>
      <w:lvlJc w:val="left"/>
      <w:pPr>
        <w:ind w:left="394" w:hanging="494"/>
      </w:pPr>
      <w:rPr>
        <w:rFonts w:hint="default"/>
      </w:rPr>
    </w:lvl>
    <w:lvl w:ilvl="5">
      <w:start w:val="1"/>
      <w:numFmt w:val="bullet"/>
      <w:lvlText w:val="•"/>
      <w:lvlJc w:val="left"/>
      <w:pPr>
        <w:ind w:left="285" w:hanging="494"/>
      </w:pPr>
      <w:rPr>
        <w:rFonts w:hint="default"/>
      </w:rPr>
    </w:lvl>
    <w:lvl w:ilvl="6">
      <w:start w:val="1"/>
      <w:numFmt w:val="bullet"/>
      <w:lvlText w:val="•"/>
      <w:lvlJc w:val="left"/>
      <w:pPr>
        <w:ind w:left="176" w:hanging="494"/>
      </w:pPr>
      <w:rPr>
        <w:rFonts w:hint="default"/>
      </w:rPr>
    </w:lvl>
    <w:lvl w:ilvl="7">
      <w:start w:val="1"/>
      <w:numFmt w:val="bullet"/>
      <w:lvlText w:val="•"/>
      <w:lvlJc w:val="left"/>
      <w:pPr>
        <w:ind w:left="67" w:hanging="494"/>
      </w:pPr>
      <w:rPr>
        <w:rFonts w:hint="default"/>
      </w:rPr>
    </w:lvl>
    <w:lvl w:ilvl="8">
      <w:start w:val="1"/>
      <w:numFmt w:val="bullet"/>
      <w:lvlText w:val="•"/>
      <w:lvlJc w:val="left"/>
      <w:pPr>
        <w:ind w:left="-42" w:hanging="494"/>
      </w:pPr>
      <w:rPr>
        <w:rFonts w:hint="default"/>
      </w:rPr>
    </w:lvl>
  </w:abstractNum>
  <w:abstractNum w:abstractNumId="23" w15:restartNumberingAfterBreak="0">
    <w:nsid w:val="5DC75690"/>
    <w:multiLevelType w:val="multilevel"/>
    <w:tmpl w:val="157C8C9C"/>
    <w:lvl w:ilvl="0">
      <w:start w:val="1"/>
      <w:numFmt w:val="decimal"/>
      <w:lvlText w:val="%1"/>
      <w:lvlJc w:val="left"/>
      <w:pPr>
        <w:tabs>
          <w:tab w:val="num" w:pos="360"/>
        </w:tabs>
        <w:ind w:left="0" w:firstLine="0"/>
      </w:pPr>
      <w:rPr>
        <w:rFonts w:ascii="Times New Roman" w:hAnsi="Times New Roman"/>
        <w:b/>
      </w:rPr>
    </w:lvl>
    <w:lvl w:ilvl="1">
      <w:start w:val="1"/>
      <w:numFmt w:val="decimal"/>
      <w:lvlText w:val="%1.%2"/>
      <w:lvlJc w:val="left"/>
      <w:pPr>
        <w:tabs>
          <w:tab w:val="num" w:pos="720"/>
        </w:tabs>
        <w:ind w:left="0" w:firstLine="0"/>
      </w:pPr>
      <w:rPr>
        <w:rFonts w:ascii="Times New Roman" w:hAnsi="Times New Roman" w:hint="default"/>
        <w:b/>
        <w:sz w:val="20"/>
      </w:rPr>
    </w:lvl>
    <w:lvl w:ilvl="2">
      <w:start w:val="1"/>
      <w:numFmt w:val="none"/>
      <w:lvlText w:val=""/>
      <w:lvlJc w:val="left"/>
      <w:pPr>
        <w:tabs>
          <w:tab w:val="num" w:pos="0"/>
        </w:tabs>
        <w:ind w:left="0" w:firstLine="0"/>
      </w:pPr>
      <w:rPr>
        <w:rFonts w:ascii="Times New Roman" w:hAnsi="Times New Roman" w:hint="default"/>
        <w:b/>
        <w:sz w:val="20"/>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4" w15:restartNumberingAfterBreak="0">
    <w:nsid w:val="5FE51160"/>
    <w:multiLevelType w:val="multilevel"/>
    <w:tmpl w:val="5DDACBA2"/>
    <w:lvl w:ilvl="0">
      <w:start w:val="1"/>
      <w:numFmt w:val="decimal"/>
      <w:lvlText w:val="%1"/>
      <w:lvlJc w:val="left"/>
      <w:pPr>
        <w:tabs>
          <w:tab w:val="num" w:pos="360"/>
        </w:tabs>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504"/>
        </w:tabs>
        <w:ind w:left="0" w:firstLine="0"/>
      </w:pPr>
      <w:rPr>
        <w:rFonts w:ascii="Times New Roman" w:eastAsia="Times New Roman" w:hAnsi="Times New Roman" w:hint="default"/>
        <w:b/>
        <w:bCs/>
        <w:w w:val="99"/>
        <w:sz w:val="24"/>
        <w:szCs w:val="22"/>
      </w:rPr>
    </w:lvl>
    <w:lvl w:ilvl="2">
      <w:start w:val="1"/>
      <w:numFmt w:val="none"/>
      <w:lvlText w:val=""/>
      <w:lvlJc w:val="left"/>
      <w:pPr>
        <w:tabs>
          <w:tab w:val="num" w:pos="0"/>
        </w:tabs>
        <w:ind w:left="0" w:firstLine="0"/>
      </w:pPr>
      <w:rPr>
        <w:rFonts w:ascii="Times New Roman" w:hAnsi="Times New Roman" w:hint="default"/>
        <w:b/>
        <w:sz w:val="20"/>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25" w15:restartNumberingAfterBreak="0">
    <w:nsid w:val="6594288C"/>
    <w:multiLevelType w:val="multilevel"/>
    <w:tmpl w:val="750A9AAA"/>
    <w:lvl w:ilvl="0">
      <w:start w:val="1"/>
      <w:numFmt w:val="decimal"/>
      <w:lvlText w:val="%1"/>
      <w:lvlJc w:val="left"/>
      <w:pPr>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0"/>
        </w:tabs>
        <w:ind w:left="0" w:firstLine="0"/>
      </w:pPr>
      <w:rPr>
        <w:rFonts w:ascii="Times New Roman" w:eastAsia="Times New Roman" w:hAnsi="Times New Roman" w:hint="default"/>
        <w:b/>
        <w:bCs/>
        <w:w w:val="99"/>
        <w:sz w:val="24"/>
        <w:szCs w:val="22"/>
      </w:rPr>
    </w:lvl>
    <w:lvl w:ilvl="2">
      <w:start w:val="1"/>
      <w:numFmt w:val="none"/>
      <w:lvlText w:val=""/>
      <w:lvlJc w:val="left"/>
      <w:pPr>
        <w:tabs>
          <w:tab w:val="num" w:pos="0"/>
        </w:tabs>
        <w:ind w:left="0" w:firstLine="0"/>
      </w:pPr>
      <w:rPr>
        <w:rFonts w:ascii="Times New Roman" w:hAnsi="Times New Roman" w:hint="default"/>
        <w:b/>
        <w:sz w:val="20"/>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26" w15:restartNumberingAfterBreak="0">
    <w:nsid w:val="672B2317"/>
    <w:multiLevelType w:val="multilevel"/>
    <w:tmpl w:val="2D3A6CCA"/>
    <w:lvl w:ilvl="0">
      <w:start w:val="1"/>
      <w:numFmt w:val="decimal"/>
      <w:lvlText w:val="%1"/>
      <w:lvlJc w:val="left"/>
      <w:pPr>
        <w:tabs>
          <w:tab w:val="num" w:pos="360"/>
        </w:tabs>
        <w:ind w:left="0" w:firstLine="0"/>
      </w:pPr>
      <w:rPr>
        <w:rFonts w:ascii="Times New Roman" w:hAnsi="Times New Roman"/>
        <w:b/>
      </w:rPr>
    </w:lvl>
    <w:lvl w:ilvl="1">
      <w:start w:val="1"/>
      <w:numFmt w:val="decimal"/>
      <w:lvlText w:val="%1.%2"/>
      <w:lvlJc w:val="left"/>
      <w:pPr>
        <w:tabs>
          <w:tab w:val="num" w:pos="720"/>
        </w:tabs>
        <w:ind w:left="0" w:firstLine="0"/>
      </w:pPr>
      <w:rPr>
        <w:rFonts w:ascii="Times New Roman" w:hAnsi="Times New Roman" w:hint="default"/>
        <w:b/>
        <w:sz w:val="20"/>
      </w:rPr>
    </w:lvl>
    <w:lvl w:ilvl="2">
      <w:start w:val="1"/>
      <w:numFmt w:val="none"/>
      <w:lvlText w:val=""/>
      <w:lvlJc w:val="left"/>
      <w:pPr>
        <w:tabs>
          <w:tab w:val="num" w:pos="0"/>
        </w:tabs>
        <w:ind w:left="0" w:firstLine="0"/>
      </w:pPr>
      <w:rPr>
        <w:rFonts w:ascii="Times New Roman" w:hAnsi="Times New Roman" w:hint="default"/>
        <w:b/>
        <w:sz w:val="20"/>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7" w15:restartNumberingAfterBreak="0">
    <w:nsid w:val="6A395BC0"/>
    <w:multiLevelType w:val="multilevel"/>
    <w:tmpl w:val="94445E8C"/>
    <w:lvl w:ilvl="0">
      <w:start w:val="1"/>
      <w:numFmt w:val="decimal"/>
      <w:lvlText w:val="%1"/>
      <w:lvlJc w:val="left"/>
      <w:pPr>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0"/>
        </w:tabs>
        <w:ind w:left="0" w:firstLine="0"/>
      </w:pPr>
      <w:rPr>
        <w:rFonts w:ascii="Times New Roman" w:eastAsia="Times New Roman" w:hAnsi="Times New Roman" w:hint="default"/>
        <w:b/>
        <w:bCs/>
        <w:w w:val="99"/>
        <w:sz w:val="24"/>
        <w:szCs w:val="22"/>
      </w:rPr>
    </w:lvl>
    <w:lvl w:ilvl="2">
      <w:start w:val="1"/>
      <w:numFmt w:val="none"/>
      <w:lvlText w:val=""/>
      <w:lvlJc w:val="left"/>
      <w:pPr>
        <w:tabs>
          <w:tab w:val="num" w:pos="0"/>
        </w:tabs>
        <w:ind w:left="0" w:firstLine="0"/>
      </w:pPr>
      <w:rPr>
        <w:rFonts w:ascii="Times New Roman" w:hAnsi="Times New Roman" w:hint="default"/>
        <w:b/>
        <w:sz w:val="20"/>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28" w15:restartNumberingAfterBreak="0">
    <w:nsid w:val="6A3B1B2C"/>
    <w:multiLevelType w:val="multilevel"/>
    <w:tmpl w:val="2D3A6CCA"/>
    <w:lvl w:ilvl="0">
      <w:start w:val="1"/>
      <w:numFmt w:val="decimal"/>
      <w:lvlText w:val="%1"/>
      <w:lvlJc w:val="left"/>
      <w:pPr>
        <w:tabs>
          <w:tab w:val="num" w:pos="360"/>
        </w:tabs>
        <w:ind w:left="0" w:firstLine="0"/>
      </w:pPr>
      <w:rPr>
        <w:rFonts w:ascii="Times New Roman" w:hAnsi="Times New Roman"/>
        <w:b/>
      </w:rPr>
    </w:lvl>
    <w:lvl w:ilvl="1">
      <w:start w:val="1"/>
      <w:numFmt w:val="decimal"/>
      <w:lvlText w:val="%1.%2"/>
      <w:lvlJc w:val="left"/>
      <w:pPr>
        <w:tabs>
          <w:tab w:val="num" w:pos="720"/>
        </w:tabs>
        <w:ind w:left="0" w:firstLine="0"/>
      </w:pPr>
      <w:rPr>
        <w:rFonts w:ascii="Times New Roman" w:hAnsi="Times New Roman" w:hint="default"/>
        <w:b/>
        <w:sz w:val="20"/>
      </w:rPr>
    </w:lvl>
    <w:lvl w:ilvl="2">
      <w:start w:val="1"/>
      <w:numFmt w:val="none"/>
      <w:lvlText w:val=""/>
      <w:lvlJc w:val="left"/>
      <w:pPr>
        <w:tabs>
          <w:tab w:val="num" w:pos="0"/>
        </w:tabs>
        <w:ind w:left="0" w:firstLine="0"/>
      </w:pPr>
      <w:rPr>
        <w:rFonts w:ascii="Times New Roman" w:hAnsi="Times New Roman" w:hint="default"/>
        <w:b/>
        <w:sz w:val="20"/>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9" w15:restartNumberingAfterBreak="0">
    <w:nsid w:val="6A63232E"/>
    <w:multiLevelType w:val="multilevel"/>
    <w:tmpl w:val="009CD6F4"/>
    <w:lvl w:ilvl="0">
      <w:start w:val="1"/>
      <w:numFmt w:val="decimal"/>
      <w:lvlText w:val="%1"/>
      <w:lvlJc w:val="left"/>
      <w:pPr>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0"/>
        </w:tabs>
        <w:ind w:left="0" w:firstLine="0"/>
      </w:pPr>
      <w:rPr>
        <w:rFonts w:ascii="Times New Roman" w:eastAsia="Times New Roman" w:hAnsi="Times New Roman" w:hint="default"/>
        <w:b/>
        <w:bCs/>
        <w:w w:val="99"/>
        <w:sz w:val="22"/>
        <w:szCs w:val="22"/>
      </w:rPr>
    </w:lvl>
    <w:lvl w:ilvl="2">
      <w:start w:val="1"/>
      <w:numFmt w:val="none"/>
      <w:lvlText w:val=""/>
      <w:lvlJc w:val="left"/>
      <w:pPr>
        <w:tabs>
          <w:tab w:val="num" w:pos="0"/>
        </w:tabs>
        <w:ind w:left="0" w:firstLine="0"/>
      </w:pPr>
      <w:rPr>
        <w:rFonts w:hint="default"/>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30" w15:restartNumberingAfterBreak="0">
    <w:nsid w:val="6B4C7F66"/>
    <w:multiLevelType w:val="multilevel"/>
    <w:tmpl w:val="F8A092D4"/>
    <w:lvl w:ilvl="0">
      <w:start w:val="1"/>
      <w:numFmt w:val="decimal"/>
      <w:lvlText w:val="%1"/>
      <w:lvlJc w:val="left"/>
      <w:pPr>
        <w:tabs>
          <w:tab w:val="num" w:pos="720"/>
        </w:tabs>
        <w:ind w:left="0" w:firstLine="0"/>
      </w:pPr>
      <w:rPr>
        <w:rFonts w:ascii="Times New Roman" w:hAnsi="Times New Roman"/>
        <w:b/>
      </w:rPr>
    </w:lvl>
    <w:lvl w:ilvl="1">
      <w:start w:val="1"/>
      <w:numFmt w:val="decimal"/>
      <w:lvlText w:val="%1.%2"/>
      <w:lvlJc w:val="left"/>
      <w:pPr>
        <w:tabs>
          <w:tab w:val="num" w:pos="720"/>
        </w:tabs>
        <w:ind w:left="0" w:firstLine="0"/>
      </w:pPr>
      <w:rPr>
        <w:rFonts w:ascii="Times New Roman" w:hAnsi="Times New Roman" w:hint="default"/>
        <w:b/>
        <w:sz w:val="20"/>
      </w:rPr>
    </w:lvl>
    <w:lvl w:ilvl="2">
      <w:start w:val="1"/>
      <w:numFmt w:val="none"/>
      <w:lvlText w:val=""/>
      <w:lvlJc w:val="left"/>
      <w:pPr>
        <w:tabs>
          <w:tab w:val="num" w:pos="0"/>
        </w:tabs>
        <w:ind w:left="0" w:firstLine="0"/>
      </w:pPr>
      <w:rPr>
        <w:rFonts w:ascii="Times New Roman" w:hAnsi="Times New Roman" w:hint="default"/>
        <w:b/>
        <w:sz w:val="20"/>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1" w15:restartNumberingAfterBreak="0">
    <w:nsid w:val="6C3E623A"/>
    <w:multiLevelType w:val="multilevel"/>
    <w:tmpl w:val="6692782C"/>
    <w:lvl w:ilvl="0">
      <w:start w:val="1"/>
      <w:numFmt w:val="decimal"/>
      <w:lvlText w:val="%1"/>
      <w:lvlJc w:val="left"/>
      <w:pPr>
        <w:ind w:left="478" w:hanging="359"/>
      </w:pPr>
      <w:rPr>
        <w:rFonts w:ascii="Times New Roman" w:eastAsia="Times New Roman" w:hAnsi="Times New Roman" w:hint="default"/>
        <w:b/>
        <w:bCs/>
        <w:w w:val="99"/>
        <w:sz w:val="24"/>
        <w:szCs w:val="24"/>
      </w:rPr>
    </w:lvl>
    <w:lvl w:ilvl="1">
      <w:start w:val="1"/>
      <w:numFmt w:val="decimal"/>
      <w:lvlText w:val="%1.%2"/>
      <w:lvlJc w:val="left"/>
      <w:pPr>
        <w:ind w:left="613" w:hanging="494"/>
      </w:pPr>
      <w:rPr>
        <w:rFonts w:ascii="Times New Roman" w:eastAsia="Times New Roman" w:hAnsi="Times New Roman" w:hint="default"/>
        <w:b/>
        <w:bCs/>
        <w:w w:val="99"/>
        <w:sz w:val="22"/>
        <w:szCs w:val="22"/>
      </w:rPr>
    </w:lvl>
    <w:lvl w:ilvl="2">
      <w:start w:val="1"/>
      <w:numFmt w:val="bullet"/>
      <w:lvlText w:val="•"/>
      <w:lvlJc w:val="left"/>
      <w:pPr>
        <w:ind w:left="613" w:hanging="494"/>
      </w:pPr>
      <w:rPr>
        <w:rFonts w:hint="default"/>
      </w:rPr>
    </w:lvl>
    <w:lvl w:ilvl="3">
      <w:start w:val="1"/>
      <w:numFmt w:val="bullet"/>
      <w:lvlText w:val="•"/>
      <w:lvlJc w:val="left"/>
      <w:pPr>
        <w:ind w:left="504" w:hanging="494"/>
      </w:pPr>
      <w:rPr>
        <w:rFonts w:hint="default"/>
      </w:rPr>
    </w:lvl>
    <w:lvl w:ilvl="4">
      <w:start w:val="1"/>
      <w:numFmt w:val="bullet"/>
      <w:lvlText w:val="•"/>
      <w:lvlJc w:val="left"/>
      <w:pPr>
        <w:ind w:left="394" w:hanging="494"/>
      </w:pPr>
      <w:rPr>
        <w:rFonts w:hint="default"/>
      </w:rPr>
    </w:lvl>
    <w:lvl w:ilvl="5">
      <w:start w:val="1"/>
      <w:numFmt w:val="bullet"/>
      <w:lvlText w:val="•"/>
      <w:lvlJc w:val="left"/>
      <w:pPr>
        <w:ind w:left="285" w:hanging="494"/>
      </w:pPr>
      <w:rPr>
        <w:rFonts w:hint="default"/>
      </w:rPr>
    </w:lvl>
    <w:lvl w:ilvl="6">
      <w:start w:val="1"/>
      <w:numFmt w:val="bullet"/>
      <w:lvlText w:val="•"/>
      <w:lvlJc w:val="left"/>
      <w:pPr>
        <w:ind w:left="176" w:hanging="494"/>
      </w:pPr>
      <w:rPr>
        <w:rFonts w:hint="default"/>
      </w:rPr>
    </w:lvl>
    <w:lvl w:ilvl="7">
      <w:start w:val="1"/>
      <w:numFmt w:val="bullet"/>
      <w:lvlText w:val="•"/>
      <w:lvlJc w:val="left"/>
      <w:pPr>
        <w:ind w:left="67" w:hanging="494"/>
      </w:pPr>
      <w:rPr>
        <w:rFonts w:hint="default"/>
      </w:rPr>
    </w:lvl>
    <w:lvl w:ilvl="8">
      <w:start w:val="1"/>
      <w:numFmt w:val="bullet"/>
      <w:lvlText w:val="•"/>
      <w:lvlJc w:val="left"/>
      <w:pPr>
        <w:ind w:left="-42" w:hanging="494"/>
      </w:pPr>
      <w:rPr>
        <w:rFonts w:hint="default"/>
      </w:rPr>
    </w:lvl>
  </w:abstractNum>
  <w:abstractNum w:abstractNumId="32" w15:restartNumberingAfterBreak="0">
    <w:nsid w:val="6D907B1D"/>
    <w:multiLevelType w:val="multilevel"/>
    <w:tmpl w:val="2D3A6CCA"/>
    <w:lvl w:ilvl="0">
      <w:start w:val="1"/>
      <w:numFmt w:val="decimal"/>
      <w:lvlText w:val="%1"/>
      <w:lvlJc w:val="left"/>
      <w:pPr>
        <w:tabs>
          <w:tab w:val="num" w:pos="360"/>
        </w:tabs>
        <w:ind w:left="0" w:firstLine="0"/>
      </w:pPr>
      <w:rPr>
        <w:rFonts w:ascii="Times New Roman" w:hAnsi="Times New Roman"/>
        <w:b/>
      </w:rPr>
    </w:lvl>
    <w:lvl w:ilvl="1">
      <w:start w:val="1"/>
      <w:numFmt w:val="decimal"/>
      <w:lvlText w:val="%1.%2"/>
      <w:lvlJc w:val="left"/>
      <w:pPr>
        <w:tabs>
          <w:tab w:val="num" w:pos="720"/>
        </w:tabs>
        <w:ind w:left="0" w:firstLine="0"/>
      </w:pPr>
      <w:rPr>
        <w:rFonts w:ascii="Times New Roman" w:hAnsi="Times New Roman" w:hint="default"/>
        <w:b/>
        <w:sz w:val="20"/>
      </w:rPr>
    </w:lvl>
    <w:lvl w:ilvl="2">
      <w:start w:val="1"/>
      <w:numFmt w:val="none"/>
      <w:lvlText w:val=""/>
      <w:lvlJc w:val="left"/>
      <w:pPr>
        <w:tabs>
          <w:tab w:val="num" w:pos="0"/>
        </w:tabs>
        <w:ind w:left="0" w:firstLine="0"/>
      </w:pPr>
      <w:rPr>
        <w:rFonts w:ascii="Times New Roman" w:hAnsi="Times New Roman" w:hint="default"/>
        <w:b/>
        <w:sz w:val="20"/>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3" w15:restartNumberingAfterBreak="0">
    <w:nsid w:val="77EF6049"/>
    <w:multiLevelType w:val="multilevel"/>
    <w:tmpl w:val="E2D47C78"/>
    <w:lvl w:ilvl="0">
      <w:start w:val="1"/>
      <w:numFmt w:val="decimal"/>
      <w:lvlText w:val="%1"/>
      <w:lvlJc w:val="left"/>
      <w:pPr>
        <w:tabs>
          <w:tab w:val="num" w:pos="360"/>
        </w:tabs>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720"/>
        </w:tabs>
        <w:ind w:left="0" w:firstLine="0"/>
      </w:pPr>
      <w:rPr>
        <w:rFonts w:ascii="Times New Roman" w:eastAsia="Times New Roman" w:hAnsi="Times New Roman" w:hint="default"/>
        <w:b/>
        <w:bCs/>
        <w:w w:val="99"/>
        <w:sz w:val="22"/>
        <w:szCs w:val="22"/>
      </w:rPr>
    </w:lvl>
    <w:lvl w:ilvl="2">
      <w:start w:val="1"/>
      <w:numFmt w:val="none"/>
      <w:lvlText w:val=""/>
      <w:lvlJc w:val="left"/>
      <w:pPr>
        <w:tabs>
          <w:tab w:val="num" w:pos="360"/>
        </w:tabs>
        <w:ind w:left="0" w:firstLine="0"/>
      </w:pPr>
      <w:rPr>
        <w:rFonts w:hint="default"/>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34" w15:restartNumberingAfterBreak="0">
    <w:nsid w:val="794D5740"/>
    <w:multiLevelType w:val="multilevel"/>
    <w:tmpl w:val="94445E8C"/>
    <w:lvl w:ilvl="0">
      <w:start w:val="1"/>
      <w:numFmt w:val="decimal"/>
      <w:lvlText w:val="%1"/>
      <w:lvlJc w:val="left"/>
      <w:pPr>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0"/>
        </w:tabs>
        <w:ind w:left="0" w:firstLine="0"/>
      </w:pPr>
      <w:rPr>
        <w:rFonts w:ascii="Times New Roman" w:eastAsia="Times New Roman" w:hAnsi="Times New Roman" w:hint="default"/>
        <w:b/>
        <w:bCs/>
        <w:w w:val="99"/>
        <w:sz w:val="24"/>
        <w:szCs w:val="22"/>
      </w:rPr>
    </w:lvl>
    <w:lvl w:ilvl="2">
      <w:start w:val="1"/>
      <w:numFmt w:val="none"/>
      <w:lvlText w:val=""/>
      <w:lvlJc w:val="left"/>
      <w:pPr>
        <w:tabs>
          <w:tab w:val="num" w:pos="0"/>
        </w:tabs>
        <w:ind w:left="0" w:firstLine="0"/>
      </w:pPr>
      <w:rPr>
        <w:rFonts w:ascii="Times New Roman" w:hAnsi="Times New Roman" w:hint="default"/>
        <w:b/>
        <w:sz w:val="20"/>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abstractNum w:abstractNumId="35" w15:restartNumberingAfterBreak="0">
    <w:nsid w:val="7A462E91"/>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2A4B63"/>
    <w:multiLevelType w:val="multilevel"/>
    <w:tmpl w:val="2D3A6CCA"/>
    <w:lvl w:ilvl="0">
      <w:start w:val="1"/>
      <w:numFmt w:val="decimal"/>
      <w:lvlText w:val="%1"/>
      <w:lvlJc w:val="left"/>
      <w:pPr>
        <w:tabs>
          <w:tab w:val="num" w:pos="360"/>
        </w:tabs>
        <w:ind w:left="0" w:firstLine="0"/>
      </w:pPr>
      <w:rPr>
        <w:rFonts w:ascii="Times New Roman" w:hAnsi="Times New Roman"/>
        <w:b/>
      </w:rPr>
    </w:lvl>
    <w:lvl w:ilvl="1">
      <w:start w:val="1"/>
      <w:numFmt w:val="decimal"/>
      <w:lvlText w:val="%1.%2"/>
      <w:lvlJc w:val="left"/>
      <w:pPr>
        <w:tabs>
          <w:tab w:val="num" w:pos="720"/>
        </w:tabs>
        <w:ind w:left="0" w:firstLine="0"/>
      </w:pPr>
      <w:rPr>
        <w:rFonts w:ascii="Times New Roman" w:hAnsi="Times New Roman" w:hint="default"/>
        <w:b/>
        <w:sz w:val="20"/>
      </w:rPr>
    </w:lvl>
    <w:lvl w:ilvl="2">
      <w:start w:val="1"/>
      <w:numFmt w:val="none"/>
      <w:lvlText w:val=""/>
      <w:lvlJc w:val="left"/>
      <w:pPr>
        <w:tabs>
          <w:tab w:val="num" w:pos="0"/>
        </w:tabs>
        <w:ind w:left="0" w:firstLine="0"/>
      </w:pPr>
      <w:rPr>
        <w:rFonts w:ascii="Times New Roman" w:hAnsi="Times New Roman" w:hint="default"/>
        <w:b/>
        <w:sz w:val="20"/>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7" w15:restartNumberingAfterBreak="0">
    <w:nsid w:val="7DF31C75"/>
    <w:multiLevelType w:val="multilevel"/>
    <w:tmpl w:val="52A2A690"/>
    <w:lvl w:ilvl="0">
      <w:start w:val="1"/>
      <w:numFmt w:val="decimal"/>
      <w:lvlText w:val="%1"/>
      <w:lvlJc w:val="left"/>
      <w:pPr>
        <w:tabs>
          <w:tab w:val="num" w:pos="360"/>
        </w:tabs>
        <w:ind w:left="0" w:firstLine="0"/>
      </w:pPr>
      <w:rPr>
        <w:rFonts w:ascii="Times New Roman" w:eastAsia="Times New Roman" w:hAnsi="Times New Roman" w:hint="default"/>
        <w:b/>
        <w:bCs/>
        <w:w w:val="99"/>
        <w:sz w:val="24"/>
        <w:szCs w:val="24"/>
      </w:rPr>
    </w:lvl>
    <w:lvl w:ilvl="1">
      <w:start w:val="1"/>
      <w:numFmt w:val="decimal"/>
      <w:lvlText w:val="%1.%2"/>
      <w:lvlJc w:val="left"/>
      <w:pPr>
        <w:tabs>
          <w:tab w:val="num" w:pos="360"/>
        </w:tabs>
        <w:ind w:left="0" w:firstLine="0"/>
      </w:pPr>
      <w:rPr>
        <w:rFonts w:ascii="Times New Roman" w:eastAsia="Times New Roman" w:hAnsi="Times New Roman" w:hint="default"/>
        <w:b/>
        <w:bCs/>
        <w:w w:val="99"/>
        <w:sz w:val="22"/>
        <w:szCs w:val="22"/>
      </w:rPr>
    </w:lvl>
    <w:lvl w:ilvl="2">
      <w:start w:val="1"/>
      <w:numFmt w:val="none"/>
      <w:lvlText w:val=""/>
      <w:lvlJc w:val="left"/>
      <w:pPr>
        <w:tabs>
          <w:tab w:val="num" w:pos="360"/>
        </w:tabs>
        <w:ind w:left="0" w:firstLine="0"/>
      </w:pPr>
      <w:rPr>
        <w:rFonts w:hint="default"/>
      </w:rPr>
    </w:lvl>
    <w:lvl w:ilvl="3">
      <w:start w:val="1"/>
      <w:numFmt w:val="bullet"/>
      <w:lvlText w:val="•"/>
      <w:lvlJc w:val="left"/>
      <w:pPr>
        <w:ind w:left="-32766" w:hanging="112"/>
      </w:pPr>
      <w:rPr>
        <w:rFonts w:hint="default"/>
      </w:rPr>
    </w:lvl>
    <w:lvl w:ilvl="4">
      <w:start w:val="1"/>
      <w:numFmt w:val="bullet"/>
      <w:lvlText w:val="•"/>
      <w:lvlJc w:val="left"/>
      <w:pPr>
        <w:ind w:left="-32494" w:hanging="494"/>
      </w:pPr>
      <w:rPr>
        <w:rFonts w:hint="default"/>
      </w:rPr>
    </w:lvl>
    <w:lvl w:ilvl="5">
      <w:start w:val="1"/>
      <w:numFmt w:val="bullet"/>
      <w:lvlText w:val="•"/>
      <w:lvlJc w:val="left"/>
      <w:pPr>
        <w:ind w:left="-32603" w:hanging="494"/>
      </w:pPr>
      <w:rPr>
        <w:rFonts w:hint="default"/>
      </w:rPr>
    </w:lvl>
    <w:lvl w:ilvl="6">
      <w:start w:val="1"/>
      <w:numFmt w:val="bullet"/>
      <w:lvlText w:val="•"/>
      <w:lvlJc w:val="left"/>
      <w:pPr>
        <w:ind w:left="-32712" w:hanging="494"/>
      </w:pPr>
      <w:rPr>
        <w:rFonts w:hint="default"/>
      </w:rPr>
    </w:lvl>
    <w:lvl w:ilvl="7">
      <w:start w:val="1"/>
      <w:numFmt w:val="bullet"/>
      <w:lvlText w:val="•"/>
      <w:lvlJc w:val="left"/>
      <w:pPr>
        <w:ind w:left="32715" w:hanging="494"/>
      </w:pPr>
      <w:rPr>
        <w:rFonts w:hint="default"/>
      </w:rPr>
    </w:lvl>
    <w:lvl w:ilvl="8">
      <w:start w:val="1"/>
      <w:numFmt w:val="bullet"/>
      <w:lvlText w:val="•"/>
      <w:lvlJc w:val="left"/>
      <w:pPr>
        <w:ind w:left="32606" w:hanging="494"/>
      </w:pPr>
      <w:rPr>
        <w:rFonts w:hint="default"/>
      </w:rPr>
    </w:lvl>
  </w:abstractNum>
  <w:num w:numId="1" w16cid:durableId="394008463">
    <w:abstractNumId w:val="25"/>
  </w:num>
  <w:num w:numId="2" w16cid:durableId="1236939670">
    <w:abstractNumId w:val="22"/>
  </w:num>
  <w:num w:numId="3" w16cid:durableId="1161700597">
    <w:abstractNumId w:val="16"/>
  </w:num>
  <w:num w:numId="4" w16cid:durableId="1570075204">
    <w:abstractNumId w:val="31"/>
  </w:num>
  <w:num w:numId="5" w16cid:durableId="1257397980">
    <w:abstractNumId w:val="2"/>
  </w:num>
  <w:num w:numId="6" w16cid:durableId="1878815704">
    <w:abstractNumId w:val="29"/>
  </w:num>
  <w:num w:numId="7" w16cid:durableId="145782828">
    <w:abstractNumId w:val="12"/>
  </w:num>
  <w:num w:numId="8" w16cid:durableId="10382732">
    <w:abstractNumId w:val="20"/>
  </w:num>
  <w:num w:numId="9" w16cid:durableId="689766727">
    <w:abstractNumId w:val="37"/>
  </w:num>
  <w:num w:numId="10" w16cid:durableId="297147366">
    <w:abstractNumId w:val="5"/>
  </w:num>
  <w:num w:numId="11" w16cid:durableId="696470817">
    <w:abstractNumId w:val="13"/>
  </w:num>
  <w:num w:numId="12" w16cid:durableId="1471707793">
    <w:abstractNumId w:val="21"/>
  </w:num>
  <w:num w:numId="13" w16cid:durableId="872575322">
    <w:abstractNumId w:val="18"/>
  </w:num>
  <w:num w:numId="14" w16cid:durableId="1814326391">
    <w:abstractNumId w:val="1"/>
  </w:num>
  <w:num w:numId="15" w16cid:durableId="447050751">
    <w:abstractNumId w:val="14"/>
  </w:num>
  <w:num w:numId="16" w16cid:durableId="1308779114">
    <w:abstractNumId w:val="33"/>
  </w:num>
  <w:num w:numId="17" w16cid:durableId="99033849">
    <w:abstractNumId w:val="9"/>
  </w:num>
  <w:num w:numId="18" w16cid:durableId="813836002">
    <w:abstractNumId w:val="19"/>
  </w:num>
  <w:num w:numId="19" w16cid:durableId="1260867155">
    <w:abstractNumId w:val="4"/>
  </w:num>
  <w:num w:numId="20" w16cid:durableId="578028188">
    <w:abstractNumId w:val="24"/>
  </w:num>
  <w:num w:numId="21" w16cid:durableId="1680893132">
    <w:abstractNumId w:val="27"/>
  </w:num>
  <w:num w:numId="22" w16cid:durableId="1405880370">
    <w:abstractNumId w:val="34"/>
  </w:num>
  <w:num w:numId="23" w16cid:durableId="1328292756">
    <w:abstractNumId w:val="0"/>
  </w:num>
  <w:num w:numId="24" w16cid:durableId="776798856">
    <w:abstractNumId w:val="3"/>
  </w:num>
  <w:num w:numId="25" w16cid:durableId="1277179404">
    <w:abstractNumId w:val="26"/>
  </w:num>
  <w:num w:numId="26" w16cid:durableId="988483227">
    <w:abstractNumId w:val="6"/>
  </w:num>
  <w:num w:numId="27" w16cid:durableId="2063551168">
    <w:abstractNumId w:val="10"/>
  </w:num>
  <w:num w:numId="28" w16cid:durableId="1210189385">
    <w:abstractNumId w:val="32"/>
  </w:num>
  <w:num w:numId="29" w16cid:durableId="89357170">
    <w:abstractNumId w:val="30"/>
  </w:num>
  <w:num w:numId="30" w16cid:durableId="254022331">
    <w:abstractNumId w:val="8"/>
  </w:num>
  <w:num w:numId="31" w16cid:durableId="2024435025">
    <w:abstractNumId w:val="15"/>
  </w:num>
  <w:num w:numId="32" w16cid:durableId="200556908">
    <w:abstractNumId w:val="35"/>
  </w:num>
  <w:num w:numId="33" w16cid:durableId="1755933410">
    <w:abstractNumId w:val="17"/>
  </w:num>
  <w:num w:numId="34" w16cid:durableId="132454899">
    <w:abstractNumId w:val="23"/>
  </w:num>
  <w:num w:numId="35" w16cid:durableId="1021395703">
    <w:abstractNumId w:val="36"/>
  </w:num>
  <w:num w:numId="36" w16cid:durableId="2018116640">
    <w:abstractNumId w:val="11"/>
  </w:num>
  <w:num w:numId="37" w16cid:durableId="609316072">
    <w:abstractNumId w:val="28"/>
  </w:num>
  <w:num w:numId="38" w16cid:durableId="10314219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E10"/>
    <w:rsid w:val="00003D34"/>
    <w:rsid w:val="00037129"/>
    <w:rsid w:val="00072D27"/>
    <w:rsid w:val="00090F6D"/>
    <w:rsid w:val="000C0F8B"/>
    <w:rsid w:val="000C1E13"/>
    <w:rsid w:val="000F0B03"/>
    <w:rsid w:val="0011798A"/>
    <w:rsid w:val="0012522F"/>
    <w:rsid w:val="0014325E"/>
    <w:rsid w:val="001C0149"/>
    <w:rsid w:val="001D51E1"/>
    <w:rsid w:val="001E31B5"/>
    <w:rsid w:val="00242EF7"/>
    <w:rsid w:val="002A0C33"/>
    <w:rsid w:val="002B18B1"/>
    <w:rsid w:val="002B79DE"/>
    <w:rsid w:val="002E1ABF"/>
    <w:rsid w:val="00304E8A"/>
    <w:rsid w:val="0034447E"/>
    <w:rsid w:val="0034791F"/>
    <w:rsid w:val="00355EE2"/>
    <w:rsid w:val="0035675C"/>
    <w:rsid w:val="00363677"/>
    <w:rsid w:val="003709EC"/>
    <w:rsid w:val="00384178"/>
    <w:rsid w:val="00384390"/>
    <w:rsid w:val="003851D2"/>
    <w:rsid w:val="0039346D"/>
    <w:rsid w:val="003B2C49"/>
    <w:rsid w:val="003B4074"/>
    <w:rsid w:val="003C50F3"/>
    <w:rsid w:val="003F63AC"/>
    <w:rsid w:val="0041600F"/>
    <w:rsid w:val="00426780"/>
    <w:rsid w:val="0046664D"/>
    <w:rsid w:val="00490866"/>
    <w:rsid w:val="004A052C"/>
    <w:rsid w:val="004C55E1"/>
    <w:rsid w:val="004F36FD"/>
    <w:rsid w:val="00503292"/>
    <w:rsid w:val="00525495"/>
    <w:rsid w:val="005265FE"/>
    <w:rsid w:val="00526B52"/>
    <w:rsid w:val="00541749"/>
    <w:rsid w:val="005518CD"/>
    <w:rsid w:val="00570E93"/>
    <w:rsid w:val="005A724D"/>
    <w:rsid w:val="005B1B7A"/>
    <w:rsid w:val="005B4F05"/>
    <w:rsid w:val="005B73C1"/>
    <w:rsid w:val="005F1B71"/>
    <w:rsid w:val="005F6CB8"/>
    <w:rsid w:val="005F7E07"/>
    <w:rsid w:val="00645F22"/>
    <w:rsid w:val="006E379D"/>
    <w:rsid w:val="006E58E0"/>
    <w:rsid w:val="00785C8F"/>
    <w:rsid w:val="007A1444"/>
    <w:rsid w:val="007C03DE"/>
    <w:rsid w:val="007C2E28"/>
    <w:rsid w:val="007C7F10"/>
    <w:rsid w:val="007D16DD"/>
    <w:rsid w:val="007E3F7B"/>
    <w:rsid w:val="007E3FAA"/>
    <w:rsid w:val="00806F84"/>
    <w:rsid w:val="00831386"/>
    <w:rsid w:val="008459FC"/>
    <w:rsid w:val="008534B1"/>
    <w:rsid w:val="00886BF0"/>
    <w:rsid w:val="0089240E"/>
    <w:rsid w:val="00892880"/>
    <w:rsid w:val="009076AE"/>
    <w:rsid w:val="00915F25"/>
    <w:rsid w:val="00953E10"/>
    <w:rsid w:val="00961E13"/>
    <w:rsid w:val="00991283"/>
    <w:rsid w:val="00A46106"/>
    <w:rsid w:val="00A544B7"/>
    <w:rsid w:val="00A75DF2"/>
    <w:rsid w:val="00A95277"/>
    <w:rsid w:val="00AA14F3"/>
    <w:rsid w:val="00AA73B9"/>
    <w:rsid w:val="00AD334D"/>
    <w:rsid w:val="00AE15EB"/>
    <w:rsid w:val="00AE66C9"/>
    <w:rsid w:val="00AF16A8"/>
    <w:rsid w:val="00AF3710"/>
    <w:rsid w:val="00B154DE"/>
    <w:rsid w:val="00B47FD6"/>
    <w:rsid w:val="00B70698"/>
    <w:rsid w:val="00B72E0E"/>
    <w:rsid w:val="00B97A45"/>
    <w:rsid w:val="00BC1E3F"/>
    <w:rsid w:val="00BF4ED6"/>
    <w:rsid w:val="00C43020"/>
    <w:rsid w:val="00CD3B21"/>
    <w:rsid w:val="00CD43BF"/>
    <w:rsid w:val="00CE7CCF"/>
    <w:rsid w:val="00CF4A2F"/>
    <w:rsid w:val="00D94E02"/>
    <w:rsid w:val="00D95B4C"/>
    <w:rsid w:val="00DA6E2D"/>
    <w:rsid w:val="00DD2BD8"/>
    <w:rsid w:val="00E15F0A"/>
    <w:rsid w:val="00E357DF"/>
    <w:rsid w:val="00E43585"/>
    <w:rsid w:val="00E77475"/>
    <w:rsid w:val="00E92BAF"/>
    <w:rsid w:val="00EB350F"/>
    <w:rsid w:val="00EC46CA"/>
    <w:rsid w:val="00ED0421"/>
    <w:rsid w:val="00ED3998"/>
    <w:rsid w:val="00EF0156"/>
    <w:rsid w:val="00F12425"/>
    <w:rsid w:val="00F258CB"/>
    <w:rsid w:val="00F31440"/>
    <w:rsid w:val="00F65C52"/>
    <w:rsid w:val="00F81037"/>
    <w:rsid w:val="00FE50A4"/>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6C55C7"/>
  <w14:defaultImageDpi w14:val="300"/>
  <w15:docId w15:val="{04D08784-C692-4E3F-AA85-FAFC88ED4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CA"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E13"/>
    <w:pPr>
      <w:jc w:val="both"/>
    </w:pPr>
    <w:rPr>
      <w:rFonts w:ascii="Times New Roman" w:hAnsi="Times New Roman"/>
      <w:sz w:val="20"/>
    </w:rPr>
  </w:style>
  <w:style w:type="paragraph" w:styleId="Heading2">
    <w:name w:val="heading 2"/>
    <w:basedOn w:val="Normal"/>
    <w:next w:val="CorpsdeTexte-1"/>
    <w:link w:val="Heading2Char"/>
    <w:uiPriority w:val="1"/>
    <w:qFormat/>
    <w:rsid w:val="0039346D"/>
    <w:pPr>
      <w:widowControl w:val="0"/>
      <w:numPr>
        <w:ilvl w:val="1"/>
        <w:numId w:val="14"/>
      </w:numPr>
      <w:tabs>
        <w:tab w:val="left" w:pos="594"/>
      </w:tabs>
      <w:spacing w:before="60" w:after="120"/>
      <w:outlineLvl w:val="1"/>
    </w:pPr>
    <w:rPr>
      <w:rFonts w:eastAsia="Times New Roman"/>
      <w:spacing w:val="-1"/>
      <w:sz w:val="24"/>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rpsdeTexte-1">
    <w:name w:val="Corps de Texte - 1"/>
    <w:basedOn w:val="Normal"/>
    <w:next w:val="Normal"/>
    <w:qFormat/>
    <w:rsid w:val="000C1E13"/>
  </w:style>
  <w:style w:type="paragraph" w:customStyle="1" w:styleId="CorpsdeTexte-2">
    <w:name w:val="Corps de Texte - 2"/>
    <w:basedOn w:val="CorpsdeTexte-1"/>
    <w:qFormat/>
    <w:rsid w:val="000C1E13"/>
    <w:pPr>
      <w:ind w:firstLine="360"/>
    </w:pPr>
  </w:style>
  <w:style w:type="paragraph" w:customStyle="1" w:styleId="TitreArticle">
    <w:name w:val="Titre Article"/>
    <w:basedOn w:val="Normal"/>
    <w:next w:val="Auteurs"/>
    <w:link w:val="TitreArticleCar"/>
    <w:qFormat/>
    <w:rsid w:val="00B70698"/>
    <w:pPr>
      <w:spacing w:before="120" w:after="240"/>
      <w:jc w:val="center"/>
    </w:pPr>
    <w:rPr>
      <w:b/>
      <w:bCs/>
      <w:caps/>
      <w:sz w:val="24"/>
      <w:szCs w:val="28"/>
    </w:rPr>
  </w:style>
  <w:style w:type="paragraph" w:customStyle="1" w:styleId="Auteurs">
    <w:name w:val="Auteurs"/>
    <w:basedOn w:val="Normal"/>
    <w:next w:val="Affiliation"/>
    <w:qFormat/>
    <w:rsid w:val="000C1E13"/>
    <w:pPr>
      <w:jc w:val="center"/>
    </w:pPr>
    <w:rPr>
      <w:b/>
    </w:rPr>
  </w:style>
  <w:style w:type="paragraph" w:customStyle="1" w:styleId="Affiliation">
    <w:name w:val="Affiliation"/>
    <w:basedOn w:val="Normal"/>
    <w:qFormat/>
    <w:rsid w:val="000C1E13"/>
    <w:pPr>
      <w:jc w:val="center"/>
    </w:pPr>
  </w:style>
  <w:style w:type="paragraph" w:styleId="Caption">
    <w:name w:val="caption"/>
    <w:basedOn w:val="Normal"/>
    <w:next w:val="Normal"/>
    <w:uiPriority w:val="35"/>
    <w:unhideWhenUsed/>
    <w:qFormat/>
    <w:rsid w:val="00072D27"/>
    <w:pPr>
      <w:spacing w:after="200"/>
    </w:pPr>
    <w:rPr>
      <w:b/>
      <w:bCs/>
      <w:color w:val="4F81BD" w:themeColor="accent1"/>
      <w:sz w:val="18"/>
      <w:szCs w:val="18"/>
    </w:rPr>
  </w:style>
  <w:style w:type="character" w:customStyle="1" w:styleId="Heading2Char">
    <w:name w:val="Heading 2 Char"/>
    <w:basedOn w:val="DefaultParagraphFont"/>
    <w:link w:val="Heading2"/>
    <w:uiPriority w:val="1"/>
    <w:rsid w:val="0014325E"/>
    <w:rPr>
      <w:rFonts w:ascii="Times New Roman" w:eastAsia="Times New Roman" w:hAnsi="Times New Roman"/>
      <w:spacing w:val="-1"/>
      <w:szCs w:val="22"/>
      <w:lang w:val="en-US" w:eastAsia="en-US"/>
    </w:rPr>
  </w:style>
  <w:style w:type="paragraph" w:customStyle="1" w:styleId="CaptionTable1">
    <w:name w:val="Caption Table 1"/>
    <w:basedOn w:val="CorpsdeTexte-1"/>
    <w:qFormat/>
    <w:rsid w:val="0034791F"/>
    <w:pPr>
      <w:spacing w:before="120" w:after="180"/>
      <w:jc w:val="center"/>
    </w:pPr>
    <w:rPr>
      <w:sz w:val="18"/>
    </w:rPr>
  </w:style>
  <w:style w:type="paragraph" w:customStyle="1" w:styleId="CaptionTable2">
    <w:name w:val="Caption Table 2"/>
    <w:basedOn w:val="CaptionTable1"/>
    <w:qFormat/>
    <w:rsid w:val="001D51E1"/>
    <w:pPr>
      <w:jc w:val="left"/>
    </w:pPr>
  </w:style>
  <w:style w:type="paragraph" w:customStyle="1" w:styleId="Abstract">
    <w:name w:val="Abstract"/>
    <w:basedOn w:val="Normal"/>
    <w:qFormat/>
    <w:rsid w:val="00785C8F"/>
    <w:rPr>
      <w:lang w:val="en-US"/>
    </w:rPr>
  </w:style>
  <w:style w:type="paragraph" w:customStyle="1" w:styleId="TitreAbstract">
    <w:name w:val="Titre Abstract"/>
    <w:basedOn w:val="TitreArticle"/>
    <w:next w:val="Abstract"/>
    <w:link w:val="TitreAbstractCar"/>
    <w:qFormat/>
    <w:rsid w:val="00645F22"/>
    <w:pPr>
      <w:spacing w:before="0" w:after="120"/>
    </w:pPr>
    <w:rPr>
      <w:bCs w:val="0"/>
      <w:caps w:val="0"/>
      <w:szCs w:val="20"/>
      <w:lang w:val="en-US"/>
    </w:rPr>
  </w:style>
  <w:style w:type="character" w:customStyle="1" w:styleId="TitreArticleCar">
    <w:name w:val="Titre Article Car"/>
    <w:basedOn w:val="DefaultParagraphFont"/>
    <w:link w:val="TitreArticle"/>
    <w:rsid w:val="0039346D"/>
    <w:rPr>
      <w:rFonts w:ascii="Times New Roman" w:hAnsi="Times New Roman"/>
      <w:b/>
      <w:bCs/>
      <w:caps/>
      <w:szCs w:val="28"/>
    </w:rPr>
  </w:style>
  <w:style w:type="character" w:customStyle="1" w:styleId="TitreAbstractCar">
    <w:name w:val="Titre Abstract Car"/>
    <w:basedOn w:val="TitreArticleCar"/>
    <w:link w:val="TitreAbstract"/>
    <w:rsid w:val="00645F22"/>
    <w:rPr>
      <w:rFonts w:ascii="Times New Roman" w:hAnsi="Times New Roman"/>
      <w:b/>
      <w:bCs w:val="0"/>
      <w:caps w:val="0"/>
      <w:szCs w:val="20"/>
      <w:lang w:val="en-US"/>
    </w:rPr>
  </w:style>
  <w:style w:type="paragraph" w:customStyle="1" w:styleId="JCAAsection1">
    <w:name w:val="JCAA section 1"/>
    <w:basedOn w:val="CorpsdeTexte-1"/>
    <w:next w:val="CorpsdeTexte-1"/>
    <w:qFormat/>
    <w:rsid w:val="00BC1E3F"/>
    <w:pPr>
      <w:numPr>
        <w:numId w:val="38"/>
      </w:numPr>
      <w:spacing w:after="120"/>
    </w:pPr>
    <w:rPr>
      <w:b/>
      <w:sz w:val="24"/>
    </w:rPr>
  </w:style>
  <w:style w:type="paragraph" w:customStyle="1" w:styleId="JCAAsection2">
    <w:name w:val="JCAA section 2"/>
    <w:basedOn w:val="CorpsdeTexte-1"/>
    <w:next w:val="CorpsdeTexte-1"/>
    <w:qFormat/>
    <w:rsid w:val="00FE50A4"/>
    <w:pPr>
      <w:numPr>
        <w:ilvl w:val="1"/>
        <w:numId w:val="38"/>
      </w:numPr>
      <w:spacing w:after="120"/>
    </w:pPr>
    <w:rPr>
      <w:b/>
      <w:sz w:val="22"/>
    </w:rPr>
  </w:style>
  <w:style w:type="numbering" w:customStyle="1" w:styleId="JCAAsections">
    <w:name w:val="JCAA sections"/>
    <w:basedOn w:val="NoList"/>
    <w:uiPriority w:val="99"/>
    <w:rsid w:val="00BC1E3F"/>
    <w:pPr>
      <w:numPr>
        <w:numId w:val="38"/>
      </w:numPr>
    </w:pPr>
  </w:style>
  <w:style w:type="paragraph" w:customStyle="1" w:styleId="JCAAsection3">
    <w:name w:val="JCAA section 3"/>
    <w:basedOn w:val="CorpsdeTexte-1"/>
    <w:next w:val="CorpsdeTexte-1"/>
    <w:qFormat/>
    <w:rsid w:val="00FE50A4"/>
    <w:pPr>
      <w:numPr>
        <w:ilvl w:val="2"/>
        <w:numId w:val="38"/>
      </w:numPr>
      <w:spacing w:after="120"/>
    </w:pPr>
    <w:rPr>
      <w:b/>
    </w:rPr>
  </w:style>
  <w:style w:type="paragraph" w:customStyle="1" w:styleId="JCAAsection">
    <w:name w:val="JCAA section"/>
    <w:basedOn w:val="CorpsdeTexte-1"/>
    <w:qFormat/>
    <w:rsid w:val="00EF0156"/>
    <w:pPr>
      <w:spacing w:after="120"/>
    </w:pPr>
    <w:rPr>
      <w:b/>
      <w:bCs/>
      <w:sz w:val="24"/>
    </w:rPr>
  </w:style>
  <w:style w:type="paragraph" w:customStyle="1" w:styleId="Figures">
    <w:name w:val="Figures"/>
    <w:basedOn w:val="CorpsdeTexte-1"/>
    <w:qFormat/>
    <w:rsid w:val="00AD334D"/>
    <w:pPr>
      <w:jc w:val="center"/>
    </w:pPr>
    <w:rPr>
      <w:lang w:val="fr-FR"/>
    </w:rPr>
  </w:style>
  <w:style w:type="paragraph" w:customStyle="1" w:styleId="Table">
    <w:name w:val="Table"/>
    <w:basedOn w:val="Normal"/>
    <w:qFormat/>
    <w:rsid w:val="00BF4ED6"/>
    <w:rPr>
      <w:sz w:val="18"/>
      <w:lang w:val="en-US"/>
    </w:rPr>
  </w:style>
  <w:style w:type="paragraph" w:customStyle="1" w:styleId="References">
    <w:name w:val="References"/>
    <w:basedOn w:val="CorpsdeTexte-1"/>
    <w:qFormat/>
    <w:rsid w:val="002E1ABF"/>
    <w:rPr>
      <w:lang w:val="en-US"/>
    </w:rPr>
  </w:style>
  <w:style w:type="paragraph" w:styleId="FootnoteText">
    <w:name w:val="footnote text"/>
    <w:basedOn w:val="Normal"/>
    <w:link w:val="FootnoteTextChar"/>
    <w:uiPriority w:val="99"/>
    <w:unhideWhenUsed/>
    <w:rsid w:val="002B18B1"/>
    <w:rPr>
      <w:sz w:val="24"/>
    </w:rPr>
  </w:style>
  <w:style w:type="character" w:customStyle="1" w:styleId="FootnoteTextChar">
    <w:name w:val="Footnote Text Char"/>
    <w:basedOn w:val="DefaultParagraphFont"/>
    <w:link w:val="FootnoteText"/>
    <w:uiPriority w:val="99"/>
    <w:rsid w:val="002B18B1"/>
    <w:rPr>
      <w:rFonts w:ascii="Times New Roman" w:hAnsi="Times New Roman"/>
    </w:rPr>
  </w:style>
  <w:style w:type="character" w:styleId="FootnoteReference">
    <w:name w:val="footnote reference"/>
    <w:basedOn w:val="DefaultParagraphFont"/>
    <w:uiPriority w:val="99"/>
    <w:unhideWhenUsed/>
    <w:rsid w:val="002B18B1"/>
    <w:rPr>
      <w:vertAlign w:val="superscript"/>
    </w:rPr>
  </w:style>
  <w:style w:type="paragraph" w:styleId="Header">
    <w:name w:val="header"/>
    <w:basedOn w:val="Normal"/>
    <w:link w:val="HeaderChar"/>
    <w:uiPriority w:val="99"/>
    <w:unhideWhenUsed/>
    <w:rsid w:val="00F65C52"/>
    <w:pPr>
      <w:tabs>
        <w:tab w:val="center" w:pos="4703"/>
        <w:tab w:val="right" w:pos="9406"/>
      </w:tabs>
    </w:pPr>
  </w:style>
  <w:style w:type="character" w:customStyle="1" w:styleId="HeaderChar">
    <w:name w:val="Header Char"/>
    <w:basedOn w:val="DefaultParagraphFont"/>
    <w:link w:val="Header"/>
    <w:uiPriority w:val="99"/>
    <w:rsid w:val="00F65C52"/>
    <w:rPr>
      <w:rFonts w:ascii="Times New Roman" w:hAnsi="Times New Roman"/>
      <w:sz w:val="20"/>
    </w:rPr>
  </w:style>
  <w:style w:type="paragraph" w:styleId="Footer">
    <w:name w:val="footer"/>
    <w:basedOn w:val="Normal"/>
    <w:link w:val="FooterChar"/>
    <w:uiPriority w:val="99"/>
    <w:unhideWhenUsed/>
    <w:rsid w:val="00F65C52"/>
    <w:pPr>
      <w:tabs>
        <w:tab w:val="center" w:pos="4703"/>
        <w:tab w:val="right" w:pos="9406"/>
      </w:tabs>
    </w:pPr>
  </w:style>
  <w:style w:type="character" w:customStyle="1" w:styleId="FooterChar">
    <w:name w:val="Footer Char"/>
    <w:basedOn w:val="DefaultParagraphFont"/>
    <w:link w:val="Footer"/>
    <w:uiPriority w:val="99"/>
    <w:rsid w:val="00F65C52"/>
    <w:rPr>
      <w:rFonts w:ascii="Times New Roman" w:hAnsi="Times New Roman"/>
      <w:sz w:val="20"/>
    </w:rPr>
  </w:style>
  <w:style w:type="character" w:styleId="Hyperlink">
    <w:name w:val="Hyperlink"/>
    <w:basedOn w:val="DefaultParagraphFont"/>
    <w:uiPriority w:val="99"/>
    <w:unhideWhenUsed/>
    <w:rsid w:val="00F65C52"/>
    <w:rPr>
      <w:color w:val="0000FF" w:themeColor="hyperlink"/>
      <w:u w:val="single"/>
    </w:rPr>
  </w:style>
  <w:style w:type="paragraph" w:styleId="BalloonText">
    <w:name w:val="Balloon Text"/>
    <w:basedOn w:val="Normal"/>
    <w:link w:val="BalloonTextChar"/>
    <w:uiPriority w:val="99"/>
    <w:semiHidden/>
    <w:unhideWhenUsed/>
    <w:rsid w:val="00F65C5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5C52"/>
    <w:rPr>
      <w:rFonts w:ascii="Lucida Grande" w:hAnsi="Lucida Grande" w:cs="Lucida Grande"/>
      <w:sz w:val="18"/>
      <w:szCs w:val="18"/>
    </w:rPr>
  </w:style>
  <w:style w:type="table" w:styleId="TableGrid">
    <w:name w:val="Table Grid"/>
    <w:basedOn w:val="TableNormal"/>
    <w:uiPriority w:val="59"/>
    <w:rsid w:val="005B7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D3998"/>
    <w:rPr>
      <w:color w:val="800080" w:themeColor="followedHyperlink"/>
      <w:u w:val="single"/>
    </w:rPr>
  </w:style>
  <w:style w:type="paragraph" w:customStyle="1" w:styleId="CaptionFigure2">
    <w:name w:val="Caption Figure 2"/>
    <w:basedOn w:val="CaptionTable2"/>
    <w:qFormat/>
    <w:rsid w:val="00FE50A4"/>
    <w:pPr>
      <w:spacing w:before="60" w:after="120"/>
    </w:pPr>
    <w:rPr>
      <w:lang w:val="fr-FR"/>
    </w:rPr>
  </w:style>
  <w:style w:type="paragraph" w:customStyle="1" w:styleId="CaptionFigure1">
    <w:name w:val="Caption Figure 1"/>
    <w:basedOn w:val="CaptionTable1"/>
    <w:qFormat/>
    <w:rsid w:val="00FE50A4"/>
    <w:pPr>
      <w:spacing w:before="60" w:after="120"/>
    </w:pPr>
  </w:style>
  <w:style w:type="character" w:styleId="UnresolvedMention">
    <w:name w:val="Unresolved Mention"/>
    <w:basedOn w:val="DefaultParagraphFont"/>
    <w:uiPriority w:val="99"/>
    <w:semiHidden/>
    <w:unhideWhenUsed/>
    <w:rsid w:val="00CD4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CAA%20Papers%20Etc\2023%20Manufacturer%20Sound%20Data\JCAA_Word_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cuments\CAA%20Papers%20Etc\2023%20Manufacturer%20Sound%20Data\Chart%20in%20excel%20R1%20colours%20match%20now.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CA" sz="700">
                <a:solidFill>
                  <a:schemeClr val="tx1"/>
                </a:solidFill>
                <a:latin typeface="Arial" panose="020B0604020202020204" pitchFamily="34" charset="0"/>
                <a:cs typeface="Arial" panose="020B0604020202020204" pitchFamily="34" charset="0"/>
              </a:rPr>
              <a:t>Difference in Sound Power Levels</a:t>
            </a:r>
          </a:p>
          <a:p>
            <a:pPr>
              <a:defRPr sz="700"/>
            </a:pPr>
            <a:r>
              <a:rPr lang="en-CA" sz="700">
                <a:solidFill>
                  <a:schemeClr val="tx1"/>
                </a:solidFill>
                <a:latin typeface="Arial" panose="020B0604020202020204" pitchFamily="34" charset="0"/>
                <a:cs typeface="Arial" panose="020B0604020202020204" pitchFamily="34" charset="0"/>
              </a:rPr>
              <a:t>From measurement, relative to manufacturer rating</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630342503483361"/>
          <c:y val="0.10868207370393505"/>
          <c:w val="0.80109685363403649"/>
          <c:h val="0.75122438239879608"/>
        </c:manualLayout>
      </c:layout>
      <c:barChart>
        <c:barDir val="col"/>
        <c:grouping val="clustered"/>
        <c:varyColors val="0"/>
        <c:ser>
          <c:idx val="17"/>
          <c:order val="17"/>
          <c:tx>
            <c:strRef>
              <c:f>Sheet1!$AI$7</c:f>
              <c:strCache>
                <c:ptCount val="1"/>
                <c:pt idx="0">
                  <c:v>A</c:v>
                </c:pt>
              </c:strCache>
            </c:strRef>
          </c:tx>
          <c:spPr>
            <a:solidFill>
              <a:schemeClr val="accent1"/>
            </a:solidFill>
            <a:ln>
              <a:solidFill>
                <a:schemeClr val="accent1"/>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Sheet1!$AI$8:$AI$16</c:f>
              <c:numCache>
                <c:formatCode>General</c:formatCode>
                <c:ptCount val="9"/>
                <c:pt idx="8">
                  <c:v>3.3347997793789999</c:v>
                </c:pt>
              </c:numCache>
            </c:numRef>
          </c:val>
          <c:extLst>
            <c:ext xmlns:c16="http://schemas.microsoft.com/office/drawing/2014/chart" uri="{C3380CC4-5D6E-409C-BE32-E72D297353CC}">
              <c16:uniqueId val="{00000000-87E4-4EF3-9B68-2177A0CF56D8}"/>
            </c:ext>
          </c:extLst>
        </c:ser>
        <c:ser>
          <c:idx val="18"/>
          <c:order val="18"/>
          <c:tx>
            <c:strRef>
              <c:f>Sheet1!$AJ$7</c:f>
              <c:strCache>
                <c:ptCount val="1"/>
                <c:pt idx="0">
                  <c:v>B</c:v>
                </c:pt>
              </c:strCache>
            </c:strRef>
          </c:tx>
          <c:spPr>
            <a:solidFill>
              <a:schemeClr val="accent2"/>
            </a:solidFill>
            <a:ln>
              <a:solidFill>
                <a:schemeClr val="accent2"/>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Sheet1!$AJ$8:$AJ$16</c:f>
              <c:numCache>
                <c:formatCode>General</c:formatCode>
                <c:ptCount val="9"/>
                <c:pt idx="8">
                  <c:v>-2.07994894922922</c:v>
                </c:pt>
              </c:numCache>
            </c:numRef>
          </c:val>
          <c:extLst>
            <c:ext xmlns:c16="http://schemas.microsoft.com/office/drawing/2014/chart" uri="{C3380CC4-5D6E-409C-BE32-E72D297353CC}">
              <c16:uniqueId val="{00000001-87E4-4EF3-9B68-2177A0CF56D8}"/>
            </c:ext>
          </c:extLst>
        </c:ser>
        <c:ser>
          <c:idx val="19"/>
          <c:order val="19"/>
          <c:tx>
            <c:strRef>
              <c:f>Sheet1!$AK$7</c:f>
              <c:strCache>
                <c:ptCount val="1"/>
                <c:pt idx="0">
                  <c:v>C</c:v>
                </c:pt>
              </c:strCache>
            </c:strRef>
          </c:tx>
          <c:spPr>
            <a:solidFill>
              <a:schemeClr val="accent3"/>
            </a:solidFill>
            <a:ln>
              <a:solidFill>
                <a:schemeClr val="accent3"/>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Sheet1!$AK$8:$AK$16</c:f>
              <c:numCache>
                <c:formatCode>General</c:formatCode>
                <c:ptCount val="9"/>
                <c:pt idx="8">
                  <c:v>-5.55669357461709</c:v>
                </c:pt>
              </c:numCache>
            </c:numRef>
          </c:val>
          <c:extLst>
            <c:ext xmlns:c16="http://schemas.microsoft.com/office/drawing/2014/chart" uri="{C3380CC4-5D6E-409C-BE32-E72D297353CC}">
              <c16:uniqueId val="{00000002-87E4-4EF3-9B68-2177A0CF56D8}"/>
            </c:ext>
          </c:extLst>
        </c:ser>
        <c:ser>
          <c:idx val="20"/>
          <c:order val="20"/>
          <c:tx>
            <c:strRef>
              <c:f>Sheet1!$AL$7</c:f>
              <c:strCache>
                <c:ptCount val="1"/>
                <c:pt idx="0">
                  <c:v>D</c:v>
                </c:pt>
              </c:strCache>
            </c:strRef>
          </c:tx>
          <c:spPr>
            <a:solidFill>
              <a:schemeClr val="accent4"/>
            </a:solidFill>
            <a:ln>
              <a:solidFill>
                <a:schemeClr val="accent4"/>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Sheet1!$AL$8:$AL$16</c:f>
              <c:numCache>
                <c:formatCode>General</c:formatCode>
                <c:ptCount val="9"/>
                <c:pt idx="8">
                  <c:v>-5.28938702363084</c:v>
                </c:pt>
              </c:numCache>
            </c:numRef>
          </c:val>
          <c:extLst>
            <c:ext xmlns:c16="http://schemas.microsoft.com/office/drawing/2014/chart" uri="{C3380CC4-5D6E-409C-BE32-E72D297353CC}">
              <c16:uniqueId val="{00000003-87E4-4EF3-9B68-2177A0CF56D8}"/>
            </c:ext>
          </c:extLst>
        </c:ser>
        <c:ser>
          <c:idx val="21"/>
          <c:order val="21"/>
          <c:tx>
            <c:strRef>
              <c:f>Sheet1!$AM$7</c:f>
              <c:strCache>
                <c:ptCount val="1"/>
                <c:pt idx="0">
                  <c:v>E</c:v>
                </c:pt>
              </c:strCache>
            </c:strRef>
          </c:tx>
          <c:spPr>
            <a:solidFill>
              <a:schemeClr val="accent5"/>
            </a:solidFill>
            <a:ln>
              <a:solidFill>
                <a:schemeClr val="accent5"/>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Sheet1!$AM$8:$AM$16</c:f>
              <c:numCache>
                <c:formatCode>General</c:formatCode>
                <c:ptCount val="9"/>
                <c:pt idx="8">
                  <c:v>-3.96658315839225</c:v>
                </c:pt>
              </c:numCache>
            </c:numRef>
          </c:val>
          <c:extLst>
            <c:ext xmlns:c16="http://schemas.microsoft.com/office/drawing/2014/chart" uri="{C3380CC4-5D6E-409C-BE32-E72D297353CC}">
              <c16:uniqueId val="{00000004-87E4-4EF3-9B68-2177A0CF56D8}"/>
            </c:ext>
          </c:extLst>
        </c:ser>
        <c:ser>
          <c:idx val="22"/>
          <c:order val="22"/>
          <c:tx>
            <c:strRef>
              <c:f>Sheet1!$AN$7</c:f>
              <c:strCache>
                <c:ptCount val="1"/>
                <c:pt idx="0">
                  <c:v>F</c:v>
                </c:pt>
              </c:strCache>
            </c:strRef>
          </c:tx>
          <c:spPr>
            <a:solidFill>
              <a:schemeClr val="accent6"/>
            </a:solidFill>
            <a:ln>
              <a:solidFill>
                <a:schemeClr val="accent6"/>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Sheet1!$AN$8:$AN$16</c:f>
              <c:numCache>
                <c:formatCode>General</c:formatCode>
                <c:ptCount val="9"/>
                <c:pt idx="8">
                  <c:v>-2.17226291518821</c:v>
                </c:pt>
              </c:numCache>
            </c:numRef>
          </c:val>
          <c:extLst>
            <c:ext xmlns:c16="http://schemas.microsoft.com/office/drawing/2014/chart" uri="{C3380CC4-5D6E-409C-BE32-E72D297353CC}">
              <c16:uniqueId val="{00000005-87E4-4EF3-9B68-2177A0CF56D8}"/>
            </c:ext>
          </c:extLst>
        </c:ser>
        <c:ser>
          <c:idx val="23"/>
          <c:order val="23"/>
          <c:tx>
            <c:strRef>
              <c:f>Sheet1!$AO$7</c:f>
              <c:strCache>
                <c:ptCount val="1"/>
                <c:pt idx="0">
                  <c:v>G</c:v>
                </c:pt>
              </c:strCache>
            </c:strRef>
          </c:tx>
          <c:spPr>
            <a:solidFill>
              <a:srgbClr val="264478"/>
            </a:solidFill>
            <a:ln>
              <a:solidFill>
                <a:srgbClr val="264478"/>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Sheet1!$AO$8:$AO$16</c:f>
              <c:numCache>
                <c:formatCode>General</c:formatCode>
                <c:ptCount val="9"/>
                <c:pt idx="8">
                  <c:v>10.497231780399501</c:v>
                </c:pt>
              </c:numCache>
            </c:numRef>
          </c:val>
          <c:extLst>
            <c:ext xmlns:c16="http://schemas.microsoft.com/office/drawing/2014/chart" uri="{C3380CC4-5D6E-409C-BE32-E72D297353CC}">
              <c16:uniqueId val="{00000006-87E4-4EF3-9B68-2177A0CF56D8}"/>
            </c:ext>
          </c:extLst>
        </c:ser>
        <c:ser>
          <c:idx val="24"/>
          <c:order val="24"/>
          <c:tx>
            <c:strRef>
              <c:f>Sheet1!$AP$7</c:f>
              <c:strCache>
                <c:ptCount val="1"/>
                <c:pt idx="0">
                  <c:v>H</c:v>
                </c:pt>
              </c:strCache>
            </c:strRef>
          </c:tx>
          <c:spPr>
            <a:solidFill>
              <a:srgbClr val="9E480E"/>
            </a:solidFill>
            <a:ln>
              <a:solidFill>
                <a:srgbClr val="9E480E"/>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Sheet1!$AP$8:$AP$16</c:f>
              <c:numCache>
                <c:formatCode>General</c:formatCode>
                <c:ptCount val="9"/>
                <c:pt idx="8">
                  <c:v>2.5162638944292</c:v>
                </c:pt>
              </c:numCache>
            </c:numRef>
          </c:val>
          <c:extLst>
            <c:ext xmlns:c16="http://schemas.microsoft.com/office/drawing/2014/chart" uri="{C3380CC4-5D6E-409C-BE32-E72D297353CC}">
              <c16:uniqueId val="{00000007-87E4-4EF3-9B68-2177A0CF56D8}"/>
            </c:ext>
          </c:extLst>
        </c:ser>
        <c:ser>
          <c:idx val="25"/>
          <c:order val="25"/>
          <c:tx>
            <c:strRef>
              <c:f>Sheet1!$AQ$7</c:f>
              <c:strCache>
                <c:ptCount val="1"/>
                <c:pt idx="0">
                  <c:v>I</c:v>
                </c:pt>
              </c:strCache>
            </c:strRef>
          </c:tx>
          <c:spPr>
            <a:solidFill>
              <a:srgbClr val="636363"/>
            </a:solidFill>
            <a:ln>
              <a:solidFill>
                <a:srgbClr val="636363"/>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Sheet1!$AQ$8:$AQ$16</c:f>
              <c:numCache>
                <c:formatCode>General</c:formatCode>
                <c:ptCount val="9"/>
                <c:pt idx="8">
                  <c:v>-2.0462835659595702</c:v>
                </c:pt>
              </c:numCache>
            </c:numRef>
          </c:val>
          <c:extLst>
            <c:ext xmlns:c16="http://schemas.microsoft.com/office/drawing/2014/chart" uri="{C3380CC4-5D6E-409C-BE32-E72D297353CC}">
              <c16:uniqueId val="{00000008-87E4-4EF3-9B68-2177A0CF56D8}"/>
            </c:ext>
          </c:extLst>
        </c:ser>
        <c:ser>
          <c:idx val="26"/>
          <c:order val="26"/>
          <c:tx>
            <c:strRef>
              <c:f>Sheet1!$AR$7</c:f>
              <c:strCache>
                <c:ptCount val="1"/>
                <c:pt idx="0">
                  <c:v>J</c:v>
                </c:pt>
              </c:strCache>
            </c:strRef>
          </c:tx>
          <c:spPr>
            <a:solidFill>
              <a:srgbClr val="997300"/>
            </a:solidFill>
            <a:ln>
              <a:solidFill>
                <a:srgbClr val="997300"/>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Sheet1!$AR$8:$AR$16</c:f>
              <c:numCache>
                <c:formatCode>General</c:formatCode>
                <c:ptCount val="9"/>
                <c:pt idx="8">
                  <c:v>-4.6945812440070096</c:v>
                </c:pt>
              </c:numCache>
            </c:numRef>
          </c:val>
          <c:extLst>
            <c:ext xmlns:c16="http://schemas.microsoft.com/office/drawing/2014/chart" uri="{C3380CC4-5D6E-409C-BE32-E72D297353CC}">
              <c16:uniqueId val="{00000009-87E4-4EF3-9B68-2177A0CF56D8}"/>
            </c:ext>
          </c:extLst>
        </c:ser>
        <c:ser>
          <c:idx val="27"/>
          <c:order val="27"/>
          <c:tx>
            <c:strRef>
              <c:f>Sheet1!$AS$7</c:f>
              <c:strCache>
                <c:ptCount val="1"/>
                <c:pt idx="0">
                  <c:v>K</c:v>
                </c:pt>
              </c:strCache>
            </c:strRef>
          </c:tx>
          <c:spPr>
            <a:solidFill>
              <a:srgbClr val="255E91"/>
            </a:solidFill>
            <a:ln>
              <a:solidFill>
                <a:srgbClr val="255E91"/>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Sheet1!$AS$8:$AS$16</c:f>
              <c:numCache>
                <c:formatCode>General</c:formatCode>
                <c:ptCount val="9"/>
                <c:pt idx="8">
                  <c:v>2.0068140346793901E-2</c:v>
                </c:pt>
              </c:numCache>
            </c:numRef>
          </c:val>
          <c:extLst>
            <c:ext xmlns:c16="http://schemas.microsoft.com/office/drawing/2014/chart" uri="{C3380CC4-5D6E-409C-BE32-E72D297353CC}">
              <c16:uniqueId val="{0000000A-87E4-4EF3-9B68-2177A0CF56D8}"/>
            </c:ext>
          </c:extLst>
        </c:ser>
        <c:ser>
          <c:idx val="28"/>
          <c:order val="28"/>
          <c:tx>
            <c:strRef>
              <c:f>Sheet1!$AT$7</c:f>
              <c:strCache>
                <c:ptCount val="1"/>
                <c:pt idx="0">
                  <c:v>L</c:v>
                </c:pt>
              </c:strCache>
            </c:strRef>
          </c:tx>
          <c:spPr>
            <a:solidFill>
              <a:srgbClr val="43682B"/>
            </a:solidFill>
            <a:ln>
              <a:solidFill>
                <a:srgbClr val="43682B"/>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Sheet1!$AT$8:$AT$16</c:f>
              <c:numCache>
                <c:formatCode>General</c:formatCode>
                <c:ptCount val="9"/>
                <c:pt idx="8">
                  <c:v>-0.67499196041795495</c:v>
                </c:pt>
              </c:numCache>
            </c:numRef>
          </c:val>
          <c:extLst>
            <c:ext xmlns:c16="http://schemas.microsoft.com/office/drawing/2014/chart" uri="{C3380CC4-5D6E-409C-BE32-E72D297353CC}">
              <c16:uniqueId val="{0000000B-87E4-4EF3-9B68-2177A0CF56D8}"/>
            </c:ext>
          </c:extLst>
        </c:ser>
        <c:ser>
          <c:idx val="29"/>
          <c:order val="29"/>
          <c:tx>
            <c:strRef>
              <c:f>Sheet1!$AU$7</c:f>
              <c:strCache>
                <c:ptCount val="1"/>
                <c:pt idx="0">
                  <c:v>M</c:v>
                </c:pt>
              </c:strCache>
            </c:strRef>
          </c:tx>
          <c:spPr>
            <a:solidFill>
              <a:srgbClr val="698ED0"/>
            </a:solidFill>
            <a:ln>
              <a:solidFill>
                <a:srgbClr val="698ED0"/>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Sheet1!$AU$8:$AU$16</c:f>
              <c:numCache>
                <c:formatCode>General</c:formatCode>
                <c:ptCount val="9"/>
                <c:pt idx="8">
                  <c:v>1.32221485628885</c:v>
                </c:pt>
              </c:numCache>
            </c:numRef>
          </c:val>
          <c:extLst>
            <c:ext xmlns:c16="http://schemas.microsoft.com/office/drawing/2014/chart" uri="{C3380CC4-5D6E-409C-BE32-E72D297353CC}">
              <c16:uniqueId val="{0000000C-87E4-4EF3-9B68-2177A0CF56D8}"/>
            </c:ext>
          </c:extLst>
        </c:ser>
        <c:ser>
          <c:idx val="30"/>
          <c:order val="30"/>
          <c:tx>
            <c:strRef>
              <c:f>Sheet1!$AV$7</c:f>
              <c:strCache>
                <c:ptCount val="1"/>
                <c:pt idx="0">
                  <c:v>N</c:v>
                </c:pt>
              </c:strCache>
            </c:strRef>
          </c:tx>
          <c:spPr>
            <a:solidFill>
              <a:srgbClr val="F1975A"/>
            </a:solidFill>
            <a:ln>
              <a:solidFill>
                <a:srgbClr val="F1975A"/>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Sheet1!$AV$8:$AV$16</c:f>
              <c:numCache>
                <c:formatCode>General</c:formatCode>
                <c:ptCount val="9"/>
                <c:pt idx="8">
                  <c:v>-0.37308166631777301</c:v>
                </c:pt>
              </c:numCache>
            </c:numRef>
          </c:val>
          <c:extLst>
            <c:ext xmlns:c16="http://schemas.microsoft.com/office/drawing/2014/chart" uri="{C3380CC4-5D6E-409C-BE32-E72D297353CC}">
              <c16:uniqueId val="{0000000D-87E4-4EF3-9B68-2177A0CF56D8}"/>
            </c:ext>
          </c:extLst>
        </c:ser>
        <c:ser>
          <c:idx val="31"/>
          <c:order val="31"/>
          <c:tx>
            <c:strRef>
              <c:f>Sheet1!$AW$7</c:f>
              <c:strCache>
                <c:ptCount val="1"/>
                <c:pt idx="0">
                  <c:v>O</c:v>
                </c:pt>
              </c:strCache>
            </c:strRef>
          </c:tx>
          <c:spPr>
            <a:solidFill>
              <a:srgbClr val="B7B7B7"/>
            </a:solidFill>
            <a:ln>
              <a:solidFill>
                <a:srgbClr val="B7B7B7"/>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Sheet1!$AW$8:$AW$16</c:f>
              <c:numCache>
                <c:formatCode>General</c:formatCode>
                <c:ptCount val="9"/>
                <c:pt idx="8">
                  <c:v>-3.3570353326790499</c:v>
                </c:pt>
              </c:numCache>
            </c:numRef>
          </c:val>
          <c:extLst>
            <c:ext xmlns:c16="http://schemas.microsoft.com/office/drawing/2014/chart" uri="{C3380CC4-5D6E-409C-BE32-E72D297353CC}">
              <c16:uniqueId val="{0000000E-87E4-4EF3-9B68-2177A0CF56D8}"/>
            </c:ext>
          </c:extLst>
        </c:ser>
        <c:ser>
          <c:idx val="32"/>
          <c:order val="32"/>
          <c:tx>
            <c:strRef>
              <c:f>Sheet1!$AX$7</c:f>
              <c:strCache>
                <c:ptCount val="1"/>
                <c:pt idx="0">
                  <c:v>P</c:v>
                </c:pt>
              </c:strCache>
            </c:strRef>
          </c:tx>
          <c:spPr>
            <a:solidFill>
              <a:srgbClr val="FFCD33"/>
            </a:solidFill>
            <a:ln>
              <a:solidFill>
                <a:srgbClr val="FFCD33"/>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Sheet1!$AX$8:$AX$16</c:f>
              <c:numCache>
                <c:formatCode>General</c:formatCode>
                <c:ptCount val="9"/>
                <c:pt idx="8">
                  <c:v>-4.9897197285630899</c:v>
                </c:pt>
              </c:numCache>
            </c:numRef>
          </c:val>
          <c:extLst>
            <c:ext xmlns:c16="http://schemas.microsoft.com/office/drawing/2014/chart" uri="{C3380CC4-5D6E-409C-BE32-E72D297353CC}">
              <c16:uniqueId val="{0000000F-87E4-4EF3-9B68-2177A0CF56D8}"/>
            </c:ext>
          </c:extLst>
        </c:ser>
        <c:ser>
          <c:idx val="33"/>
          <c:order val="33"/>
          <c:tx>
            <c:strRef>
              <c:f>Sheet1!$AY$7</c:f>
              <c:strCache>
                <c:ptCount val="1"/>
                <c:pt idx="0">
                  <c:v>Q</c:v>
                </c:pt>
              </c:strCache>
            </c:strRef>
          </c:tx>
          <c:spPr>
            <a:solidFill>
              <a:srgbClr val="7CAFDD"/>
            </a:solidFill>
            <a:ln>
              <a:solidFill>
                <a:srgbClr val="7CAFDD"/>
              </a:solid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Sheet1!$AY$8:$AY$16</c:f>
              <c:numCache>
                <c:formatCode>General</c:formatCode>
                <c:ptCount val="9"/>
                <c:pt idx="8">
                  <c:v>11.9435148844483</c:v>
                </c:pt>
              </c:numCache>
            </c:numRef>
          </c:val>
          <c:extLst>
            <c:ext xmlns:c16="http://schemas.microsoft.com/office/drawing/2014/chart" uri="{C3380CC4-5D6E-409C-BE32-E72D297353CC}">
              <c16:uniqueId val="{00000010-87E4-4EF3-9B68-2177A0CF56D8}"/>
            </c:ext>
          </c:extLst>
        </c:ser>
        <c:ser>
          <c:idx val="34"/>
          <c:order val="34"/>
          <c:tx>
            <c:strRef>
              <c:f>Sheet1!$AZ$7</c:f>
              <c:strCache>
                <c:ptCount val="1"/>
                <c:pt idx="0">
                  <c:v>R</c:v>
                </c:pt>
              </c:strCache>
            </c:strRef>
          </c:tx>
          <c:spPr>
            <a:solidFill>
              <a:schemeClr val="accent5">
                <a:lumMod val="50000"/>
              </a:schemeClr>
            </a:solidFill>
            <a:ln>
              <a:no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Sheet1!$AZ$8:$AZ$16</c:f>
              <c:numCache>
                <c:formatCode>General</c:formatCode>
                <c:ptCount val="9"/>
                <c:pt idx="8">
                  <c:v>6.8999999999999897</c:v>
                </c:pt>
              </c:numCache>
            </c:numRef>
          </c:val>
          <c:extLst>
            <c:ext xmlns:c16="http://schemas.microsoft.com/office/drawing/2014/chart" uri="{C3380CC4-5D6E-409C-BE32-E72D297353CC}">
              <c16:uniqueId val="{00000011-87E4-4EF3-9B68-2177A0CF56D8}"/>
            </c:ext>
          </c:extLst>
        </c:ser>
        <c:ser>
          <c:idx val="35"/>
          <c:order val="35"/>
          <c:tx>
            <c:strRef>
              <c:f>Sheet1!$BA$7</c:f>
              <c:strCache>
                <c:ptCount val="1"/>
                <c:pt idx="0">
                  <c:v>S</c:v>
                </c:pt>
              </c:strCache>
            </c:strRef>
          </c:tx>
          <c:spPr>
            <a:solidFill>
              <a:schemeClr val="accent6">
                <a:lumMod val="50000"/>
              </a:schemeClr>
            </a:solidFill>
            <a:ln>
              <a:no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Sheet1!$BA$8:$BA$16</c:f>
              <c:numCache>
                <c:formatCode>General</c:formatCode>
                <c:ptCount val="9"/>
                <c:pt idx="8">
                  <c:v>3.0999999999999899</c:v>
                </c:pt>
              </c:numCache>
            </c:numRef>
          </c:val>
          <c:extLst>
            <c:ext xmlns:c16="http://schemas.microsoft.com/office/drawing/2014/chart" uri="{C3380CC4-5D6E-409C-BE32-E72D297353CC}">
              <c16:uniqueId val="{00000012-87E4-4EF3-9B68-2177A0CF56D8}"/>
            </c:ext>
          </c:extLst>
        </c:ser>
        <c:ser>
          <c:idx val="36"/>
          <c:order val="36"/>
          <c:tx>
            <c:strRef>
              <c:f>Sheet1!$BB$7</c:f>
              <c:strCache>
                <c:ptCount val="1"/>
                <c:pt idx="0">
                  <c:v>T</c:v>
                </c:pt>
              </c:strCache>
            </c:strRef>
          </c:tx>
          <c:spPr>
            <a:solidFill>
              <a:schemeClr val="accent1">
                <a:lumMod val="70000"/>
                <a:lumOff val="30000"/>
              </a:schemeClr>
            </a:solidFill>
            <a:ln>
              <a:no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Sheet1!$BB$8:$BB$16</c:f>
              <c:numCache>
                <c:formatCode>General</c:formatCode>
                <c:ptCount val="9"/>
                <c:pt idx="8">
                  <c:v>-5.7</c:v>
                </c:pt>
              </c:numCache>
            </c:numRef>
          </c:val>
          <c:extLst>
            <c:ext xmlns:c16="http://schemas.microsoft.com/office/drawing/2014/chart" uri="{C3380CC4-5D6E-409C-BE32-E72D297353CC}">
              <c16:uniqueId val="{00000013-87E4-4EF3-9B68-2177A0CF56D8}"/>
            </c:ext>
          </c:extLst>
        </c:ser>
        <c:ser>
          <c:idx val="37"/>
          <c:order val="37"/>
          <c:tx>
            <c:strRef>
              <c:f>Sheet1!$BC$7</c:f>
              <c:strCache>
                <c:ptCount val="1"/>
                <c:pt idx="0">
                  <c:v>U</c:v>
                </c:pt>
              </c:strCache>
            </c:strRef>
          </c:tx>
          <c:spPr>
            <a:solidFill>
              <a:schemeClr val="accent2">
                <a:lumMod val="70000"/>
                <a:lumOff val="30000"/>
              </a:schemeClr>
            </a:solidFill>
            <a:ln>
              <a:no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Sheet1!$BC$8:$BC$16</c:f>
              <c:numCache>
                <c:formatCode>General</c:formatCode>
                <c:ptCount val="9"/>
                <c:pt idx="8">
                  <c:v>-1.9000000000000099</c:v>
                </c:pt>
              </c:numCache>
            </c:numRef>
          </c:val>
          <c:extLst>
            <c:ext xmlns:c16="http://schemas.microsoft.com/office/drawing/2014/chart" uri="{C3380CC4-5D6E-409C-BE32-E72D297353CC}">
              <c16:uniqueId val="{00000014-87E4-4EF3-9B68-2177A0CF56D8}"/>
            </c:ext>
          </c:extLst>
        </c:ser>
        <c:ser>
          <c:idx val="38"/>
          <c:order val="38"/>
          <c:tx>
            <c:strRef>
              <c:f>Sheet1!$BD$7</c:f>
              <c:strCache>
                <c:ptCount val="1"/>
                <c:pt idx="0">
                  <c:v>V</c:v>
                </c:pt>
              </c:strCache>
            </c:strRef>
          </c:tx>
          <c:spPr>
            <a:solidFill>
              <a:schemeClr val="accent3">
                <a:lumMod val="70000"/>
                <a:lumOff val="30000"/>
              </a:schemeClr>
            </a:solidFill>
            <a:ln>
              <a:noFill/>
            </a:ln>
            <a:effectLst/>
          </c:spPr>
          <c:invertIfNegative val="0"/>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Sheet1!$BD$8:$BD$16</c:f>
              <c:numCache>
                <c:formatCode>General</c:formatCode>
                <c:ptCount val="9"/>
                <c:pt idx="8">
                  <c:v>-3.7</c:v>
                </c:pt>
              </c:numCache>
            </c:numRef>
          </c:val>
          <c:extLst>
            <c:ext xmlns:c16="http://schemas.microsoft.com/office/drawing/2014/chart" uri="{C3380CC4-5D6E-409C-BE32-E72D297353CC}">
              <c16:uniqueId val="{00000015-87E4-4EF3-9B68-2177A0CF56D8}"/>
            </c:ext>
          </c:extLst>
        </c:ser>
        <c:dLbls>
          <c:showLegendKey val="0"/>
          <c:showVal val="0"/>
          <c:showCatName val="0"/>
          <c:showSerName val="0"/>
          <c:showPercent val="0"/>
          <c:showBubbleSize val="0"/>
        </c:dLbls>
        <c:gapWidth val="0"/>
        <c:overlap val="60"/>
        <c:axId val="496114896"/>
        <c:axId val="496114416"/>
      </c:barChart>
      <c:lineChart>
        <c:grouping val="standard"/>
        <c:varyColors val="0"/>
        <c:ser>
          <c:idx val="0"/>
          <c:order val="0"/>
          <c:tx>
            <c:strRef>
              <c:f>Sheet1!$R$7</c:f>
              <c:strCache>
                <c:ptCount val="1"/>
                <c:pt idx="0">
                  <c:v>A</c:v>
                </c:pt>
              </c:strCache>
            </c:strRef>
          </c:tx>
          <c:spPr>
            <a:ln w="12700" cap="rnd">
              <a:solidFill>
                <a:schemeClr val="accent1"/>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Sheet1!$R$8:$R$16</c:f>
              <c:numCache>
                <c:formatCode>General</c:formatCode>
                <c:ptCount val="9"/>
                <c:pt idx="0">
                  <c:v>8</c:v>
                </c:pt>
                <c:pt idx="1">
                  <c:v>2.2000000000000002</c:v>
                </c:pt>
                <c:pt idx="2">
                  <c:v>1.4000000000000099</c:v>
                </c:pt>
                <c:pt idx="3">
                  <c:v>1.7</c:v>
                </c:pt>
                <c:pt idx="4">
                  <c:v>3.9000000000000101</c:v>
                </c:pt>
                <c:pt idx="5">
                  <c:v>5.0999999999999899</c:v>
                </c:pt>
                <c:pt idx="6">
                  <c:v>8.0999999999999908</c:v>
                </c:pt>
                <c:pt idx="7">
                  <c:v>1</c:v>
                </c:pt>
              </c:numCache>
            </c:numRef>
          </c:val>
          <c:smooth val="0"/>
          <c:extLst>
            <c:ext xmlns:c16="http://schemas.microsoft.com/office/drawing/2014/chart" uri="{C3380CC4-5D6E-409C-BE32-E72D297353CC}">
              <c16:uniqueId val="{00000016-87E4-4EF3-9B68-2177A0CF56D8}"/>
            </c:ext>
          </c:extLst>
        </c:ser>
        <c:ser>
          <c:idx val="1"/>
          <c:order val="1"/>
          <c:tx>
            <c:strRef>
              <c:f>Sheet1!$S$7</c:f>
              <c:strCache>
                <c:ptCount val="1"/>
                <c:pt idx="0">
                  <c:v>B</c:v>
                </c:pt>
              </c:strCache>
            </c:strRef>
          </c:tx>
          <c:spPr>
            <a:ln w="12700" cap="rnd">
              <a:solidFill>
                <a:schemeClr val="accent2"/>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Sheet1!$S$8:$S$16</c:f>
              <c:numCache>
                <c:formatCode>General</c:formatCode>
                <c:ptCount val="9"/>
                <c:pt idx="0">
                  <c:v>39.299999999999997</c:v>
                </c:pt>
                <c:pt idx="1">
                  <c:v>16.2</c:v>
                </c:pt>
                <c:pt idx="2">
                  <c:v>6</c:v>
                </c:pt>
                <c:pt idx="3">
                  <c:v>-1.8999999999999899</c:v>
                </c:pt>
                <c:pt idx="4">
                  <c:v>-3.69999999999999</c:v>
                </c:pt>
                <c:pt idx="5">
                  <c:v>-2.9000000000000101</c:v>
                </c:pt>
                <c:pt idx="6">
                  <c:v>-2.1000000000000099</c:v>
                </c:pt>
                <c:pt idx="7">
                  <c:v>4.1999999999999904</c:v>
                </c:pt>
              </c:numCache>
            </c:numRef>
          </c:val>
          <c:smooth val="0"/>
          <c:extLst>
            <c:ext xmlns:c16="http://schemas.microsoft.com/office/drawing/2014/chart" uri="{C3380CC4-5D6E-409C-BE32-E72D297353CC}">
              <c16:uniqueId val="{00000017-87E4-4EF3-9B68-2177A0CF56D8}"/>
            </c:ext>
          </c:extLst>
        </c:ser>
        <c:ser>
          <c:idx val="2"/>
          <c:order val="2"/>
          <c:tx>
            <c:strRef>
              <c:f>Sheet1!$T$7</c:f>
              <c:strCache>
                <c:ptCount val="1"/>
                <c:pt idx="0">
                  <c:v>C</c:v>
                </c:pt>
              </c:strCache>
            </c:strRef>
          </c:tx>
          <c:spPr>
            <a:ln w="12700" cap="rnd">
              <a:solidFill>
                <a:schemeClr val="accent3"/>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Sheet1!$T$8:$T$16</c:f>
              <c:numCache>
                <c:formatCode>General</c:formatCode>
                <c:ptCount val="9"/>
                <c:pt idx="0">
                  <c:v>-5.8999999999999897</c:v>
                </c:pt>
                <c:pt idx="1">
                  <c:v>-1.8</c:v>
                </c:pt>
                <c:pt idx="2">
                  <c:v>-3.7</c:v>
                </c:pt>
                <c:pt idx="3">
                  <c:v>-5.7</c:v>
                </c:pt>
                <c:pt idx="4">
                  <c:v>-6.1000000000000103</c:v>
                </c:pt>
                <c:pt idx="5">
                  <c:v>-6.81</c:v>
                </c:pt>
                <c:pt idx="6">
                  <c:v>-4.8</c:v>
                </c:pt>
                <c:pt idx="7">
                  <c:v>-4.4000000000000004</c:v>
                </c:pt>
              </c:numCache>
            </c:numRef>
          </c:val>
          <c:smooth val="0"/>
          <c:extLst>
            <c:ext xmlns:c16="http://schemas.microsoft.com/office/drawing/2014/chart" uri="{C3380CC4-5D6E-409C-BE32-E72D297353CC}">
              <c16:uniqueId val="{00000018-87E4-4EF3-9B68-2177A0CF56D8}"/>
            </c:ext>
          </c:extLst>
        </c:ser>
        <c:ser>
          <c:idx val="3"/>
          <c:order val="3"/>
          <c:tx>
            <c:strRef>
              <c:f>Sheet1!$U$7</c:f>
              <c:strCache>
                <c:ptCount val="1"/>
                <c:pt idx="0">
                  <c:v>D</c:v>
                </c:pt>
              </c:strCache>
            </c:strRef>
          </c:tx>
          <c:spPr>
            <a:ln w="12700" cap="rnd">
              <a:solidFill>
                <a:schemeClr val="accent4"/>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Sheet1!$U$8:$U$16</c:f>
              <c:numCache>
                <c:formatCode>General</c:formatCode>
                <c:ptCount val="9"/>
                <c:pt idx="1">
                  <c:v>5.4000000000000101</c:v>
                </c:pt>
                <c:pt idx="2">
                  <c:v>0.70000000000000295</c:v>
                </c:pt>
                <c:pt idx="3">
                  <c:v>-4.8</c:v>
                </c:pt>
                <c:pt idx="4">
                  <c:v>-6.4000000000000101</c:v>
                </c:pt>
                <c:pt idx="5">
                  <c:v>-6.5</c:v>
                </c:pt>
                <c:pt idx="6">
                  <c:v>-4.8</c:v>
                </c:pt>
                <c:pt idx="7">
                  <c:v>-4.9000000000000004</c:v>
                </c:pt>
              </c:numCache>
            </c:numRef>
          </c:val>
          <c:smooth val="0"/>
          <c:extLst>
            <c:ext xmlns:c16="http://schemas.microsoft.com/office/drawing/2014/chart" uri="{C3380CC4-5D6E-409C-BE32-E72D297353CC}">
              <c16:uniqueId val="{00000019-87E4-4EF3-9B68-2177A0CF56D8}"/>
            </c:ext>
          </c:extLst>
        </c:ser>
        <c:ser>
          <c:idx val="4"/>
          <c:order val="4"/>
          <c:tx>
            <c:strRef>
              <c:f>Sheet1!$V$7</c:f>
              <c:strCache>
                <c:ptCount val="1"/>
                <c:pt idx="0">
                  <c:v>E</c:v>
                </c:pt>
              </c:strCache>
            </c:strRef>
          </c:tx>
          <c:spPr>
            <a:ln w="12700" cap="rnd">
              <a:solidFill>
                <a:schemeClr val="accent5"/>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Sheet1!$V$8:$V$16</c:f>
              <c:numCache>
                <c:formatCode>General</c:formatCode>
                <c:ptCount val="9"/>
                <c:pt idx="1">
                  <c:v>9.9000000000000092</c:v>
                </c:pt>
                <c:pt idx="2">
                  <c:v>3.3</c:v>
                </c:pt>
                <c:pt idx="3">
                  <c:v>-5.0999999999999899</c:v>
                </c:pt>
                <c:pt idx="4">
                  <c:v>-5.3</c:v>
                </c:pt>
                <c:pt idx="5">
                  <c:v>-4.7</c:v>
                </c:pt>
                <c:pt idx="6">
                  <c:v>-2.5</c:v>
                </c:pt>
                <c:pt idx="7">
                  <c:v>-2.6</c:v>
                </c:pt>
              </c:numCache>
            </c:numRef>
          </c:val>
          <c:smooth val="0"/>
          <c:extLst>
            <c:ext xmlns:c16="http://schemas.microsoft.com/office/drawing/2014/chart" uri="{C3380CC4-5D6E-409C-BE32-E72D297353CC}">
              <c16:uniqueId val="{0000001A-87E4-4EF3-9B68-2177A0CF56D8}"/>
            </c:ext>
          </c:extLst>
        </c:ser>
        <c:ser>
          <c:idx val="5"/>
          <c:order val="5"/>
          <c:tx>
            <c:strRef>
              <c:f>Sheet1!$W$7</c:f>
              <c:strCache>
                <c:ptCount val="1"/>
                <c:pt idx="0">
                  <c:v>F</c:v>
                </c:pt>
              </c:strCache>
            </c:strRef>
          </c:tx>
          <c:spPr>
            <a:ln w="12700" cap="rnd">
              <a:solidFill>
                <a:schemeClr val="accent6"/>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Sheet1!$W$8:$W$16</c:f>
              <c:numCache>
                <c:formatCode>General</c:formatCode>
                <c:ptCount val="9"/>
                <c:pt idx="0">
                  <c:v>6.7</c:v>
                </c:pt>
                <c:pt idx="1">
                  <c:v>-1.9000000000000099</c:v>
                </c:pt>
                <c:pt idx="2">
                  <c:v>0.29999999999999699</c:v>
                </c:pt>
                <c:pt idx="3">
                  <c:v>-2.8</c:v>
                </c:pt>
                <c:pt idx="4">
                  <c:v>-2.0999999999999899</c:v>
                </c:pt>
                <c:pt idx="5">
                  <c:v>-2.2000000000000002</c:v>
                </c:pt>
                <c:pt idx="6">
                  <c:v>-4.2</c:v>
                </c:pt>
                <c:pt idx="7">
                  <c:v>-4.5</c:v>
                </c:pt>
              </c:numCache>
            </c:numRef>
          </c:val>
          <c:smooth val="0"/>
          <c:extLst>
            <c:ext xmlns:c16="http://schemas.microsoft.com/office/drawing/2014/chart" uri="{C3380CC4-5D6E-409C-BE32-E72D297353CC}">
              <c16:uniqueId val="{0000001B-87E4-4EF3-9B68-2177A0CF56D8}"/>
            </c:ext>
          </c:extLst>
        </c:ser>
        <c:ser>
          <c:idx val="6"/>
          <c:order val="6"/>
          <c:tx>
            <c:strRef>
              <c:f>Sheet1!$X$7</c:f>
              <c:strCache>
                <c:ptCount val="1"/>
                <c:pt idx="0">
                  <c:v>G</c:v>
                </c:pt>
              </c:strCache>
            </c:strRef>
          </c:tx>
          <c:spPr>
            <a:ln w="12700" cap="rnd">
              <a:solidFill>
                <a:schemeClr val="accent1">
                  <a:lumMod val="60000"/>
                </a:schemeClr>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Sheet1!$X$8:$X$16</c:f>
              <c:numCache>
                <c:formatCode>General</c:formatCode>
                <c:ptCount val="9"/>
                <c:pt idx="0">
                  <c:v>10.7</c:v>
                </c:pt>
                <c:pt idx="1">
                  <c:v>14.7</c:v>
                </c:pt>
                <c:pt idx="2">
                  <c:v>10.1</c:v>
                </c:pt>
                <c:pt idx="3">
                  <c:v>13.4</c:v>
                </c:pt>
                <c:pt idx="4">
                  <c:v>9.3000000000000007</c:v>
                </c:pt>
                <c:pt idx="5">
                  <c:v>9.1</c:v>
                </c:pt>
                <c:pt idx="6">
                  <c:v>6.2</c:v>
                </c:pt>
                <c:pt idx="7">
                  <c:v>6.9</c:v>
                </c:pt>
              </c:numCache>
            </c:numRef>
          </c:val>
          <c:smooth val="0"/>
          <c:extLst>
            <c:ext xmlns:c16="http://schemas.microsoft.com/office/drawing/2014/chart" uri="{C3380CC4-5D6E-409C-BE32-E72D297353CC}">
              <c16:uniqueId val="{0000001C-87E4-4EF3-9B68-2177A0CF56D8}"/>
            </c:ext>
          </c:extLst>
        </c:ser>
        <c:ser>
          <c:idx val="7"/>
          <c:order val="7"/>
          <c:tx>
            <c:strRef>
              <c:f>Sheet1!$Y$7</c:f>
              <c:strCache>
                <c:ptCount val="1"/>
                <c:pt idx="0">
                  <c:v>H</c:v>
                </c:pt>
              </c:strCache>
            </c:strRef>
          </c:tx>
          <c:spPr>
            <a:ln w="12700" cap="rnd">
              <a:solidFill>
                <a:schemeClr val="accent2">
                  <a:lumMod val="60000"/>
                </a:schemeClr>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Sheet1!$Y$8:$Y$16</c:f>
              <c:numCache>
                <c:formatCode>General</c:formatCode>
                <c:ptCount val="9"/>
                <c:pt idx="0">
                  <c:v>-0.59999999999999398</c:v>
                </c:pt>
                <c:pt idx="1">
                  <c:v>-3.9000000000000101</c:v>
                </c:pt>
                <c:pt idx="2">
                  <c:v>7.8</c:v>
                </c:pt>
                <c:pt idx="3">
                  <c:v>-0.70000000000000295</c:v>
                </c:pt>
                <c:pt idx="4">
                  <c:v>0.20000000000000301</c:v>
                </c:pt>
                <c:pt idx="5">
                  <c:v>1.5999999999999901</c:v>
                </c:pt>
                <c:pt idx="6">
                  <c:v>5.3</c:v>
                </c:pt>
                <c:pt idx="7">
                  <c:v>7.3</c:v>
                </c:pt>
              </c:numCache>
            </c:numRef>
          </c:val>
          <c:smooth val="0"/>
          <c:extLst>
            <c:ext xmlns:c16="http://schemas.microsoft.com/office/drawing/2014/chart" uri="{C3380CC4-5D6E-409C-BE32-E72D297353CC}">
              <c16:uniqueId val="{0000001D-87E4-4EF3-9B68-2177A0CF56D8}"/>
            </c:ext>
          </c:extLst>
        </c:ser>
        <c:ser>
          <c:idx val="8"/>
          <c:order val="8"/>
          <c:tx>
            <c:strRef>
              <c:f>Sheet1!$Z$7</c:f>
              <c:strCache>
                <c:ptCount val="1"/>
                <c:pt idx="0">
                  <c:v>I</c:v>
                </c:pt>
              </c:strCache>
            </c:strRef>
          </c:tx>
          <c:spPr>
            <a:ln w="12700" cap="rnd">
              <a:solidFill>
                <a:schemeClr val="accent3">
                  <a:lumMod val="60000"/>
                </a:schemeClr>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Sheet1!$Z$8:$Z$16</c:f>
              <c:numCache>
                <c:formatCode>General</c:formatCode>
                <c:ptCount val="9"/>
                <c:pt idx="0">
                  <c:v>13</c:v>
                </c:pt>
                <c:pt idx="1">
                  <c:v>6</c:v>
                </c:pt>
                <c:pt idx="2">
                  <c:v>1</c:v>
                </c:pt>
                <c:pt idx="3">
                  <c:v>0</c:v>
                </c:pt>
                <c:pt idx="4">
                  <c:v>1</c:v>
                </c:pt>
                <c:pt idx="5">
                  <c:v>-5</c:v>
                </c:pt>
                <c:pt idx="6">
                  <c:v>-5</c:v>
                </c:pt>
                <c:pt idx="7">
                  <c:v>-6</c:v>
                </c:pt>
              </c:numCache>
            </c:numRef>
          </c:val>
          <c:smooth val="0"/>
          <c:extLst>
            <c:ext xmlns:c16="http://schemas.microsoft.com/office/drawing/2014/chart" uri="{C3380CC4-5D6E-409C-BE32-E72D297353CC}">
              <c16:uniqueId val="{0000001E-87E4-4EF3-9B68-2177A0CF56D8}"/>
            </c:ext>
          </c:extLst>
        </c:ser>
        <c:ser>
          <c:idx val="9"/>
          <c:order val="9"/>
          <c:tx>
            <c:strRef>
              <c:f>Sheet1!$AA$7</c:f>
              <c:strCache>
                <c:ptCount val="1"/>
                <c:pt idx="0">
                  <c:v>J</c:v>
                </c:pt>
              </c:strCache>
            </c:strRef>
          </c:tx>
          <c:spPr>
            <a:ln w="12700" cap="rnd">
              <a:solidFill>
                <a:srgbClr val="997300"/>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Sheet1!$AA$8:$AA$16</c:f>
              <c:numCache>
                <c:formatCode>General</c:formatCode>
                <c:ptCount val="9"/>
                <c:pt idx="1">
                  <c:v>-11.7</c:v>
                </c:pt>
                <c:pt idx="2">
                  <c:v>-11</c:v>
                </c:pt>
                <c:pt idx="3">
                  <c:v>-8.1999999999999993</c:v>
                </c:pt>
                <c:pt idx="4">
                  <c:v>-0.20000000000000301</c:v>
                </c:pt>
                <c:pt idx="5">
                  <c:v>-2.8</c:v>
                </c:pt>
                <c:pt idx="6">
                  <c:v>-3.9000000000000101</c:v>
                </c:pt>
                <c:pt idx="7">
                  <c:v>-7.2</c:v>
                </c:pt>
              </c:numCache>
            </c:numRef>
          </c:val>
          <c:smooth val="0"/>
          <c:extLst>
            <c:ext xmlns:c16="http://schemas.microsoft.com/office/drawing/2014/chart" uri="{C3380CC4-5D6E-409C-BE32-E72D297353CC}">
              <c16:uniqueId val="{0000001F-87E4-4EF3-9B68-2177A0CF56D8}"/>
            </c:ext>
          </c:extLst>
        </c:ser>
        <c:ser>
          <c:idx val="10"/>
          <c:order val="10"/>
          <c:tx>
            <c:strRef>
              <c:f>Sheet1!$AB$7</c:f>
              <c:strCache>
                <c:ptCount val="1"/>
                <c:pt idx="0">
                  <c:v>K</c:v>
                </c:pt>
              </c:strCache>
            </c:strRef>
          </c:tx>
          <c:spPr>
            <a:ln w="12700" cap="rnd">
              <a:solidFill>
                <a:srgbClr val="255E91"/>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Sheet1!$AB$8:$AB$16</c:f>
              <c:numCache>
                <c:formatCode>General</c:formatCode>
                <c:ptCount val="9"/>
                <c:pt idx="1">
                  <c:v>-6.5999999999999899</c:v>
                </c:pt>
                <c:pt idx="2">
                  <c:v>-1.0999999999999901</c:v>
                </c:pt>
                <c:pt idx="3">
                  <c:v>-0.20000000000000301</c:v>
                </c:pt>
                <c:pt idx="4">
                  <c:v>2</c:v>
                </c:pt>
                <c:pt idx="5">
                  <c:v>2.2000000000000002</c:v>
                </c:pt>
                <c:pt idx="6">
                  <c:v>-1</c:v>
                </c:pt>
                <c:pt idx="7">
                  <c:v>-5.5999999999999899</c:v>
                </c:pt>
              </c:numCache>
            </c:numRef>
          </c:val>
          <c:smooth val="0"/>
          <c:extLst>
            <c:ext xmlns:c16="http://schemas.microsoft.com/office/drawing/2014/chart" uri="{C3380CC4-5D6E-409C-BE32-E72D297353CC}">
              <c16:uniqueId val="{00000020-87E4-4EF3-9B68-2177A0CF56D8}"/>
            </c:ext>
          </c:extLst>
        </c:ser>
        <c:ser>
          <c:idx val="11"/>
          <c:order val="11"/>
          <c:tx>
            <c:strRef>
              <c:f>Sheet1!$AC$7</c:f>
              <c:strCache>
                <c:ptCount val="1"/>
                <c:pt idx="0">
                  <c:v>L</c:v>
                </c:pt>
              </c:strCache>
            </c:strRef>
          </c:tx>
          <c:spPr>
            <a:ln w="12700" cap="rnd">
              <a:solidFill>
                <a:srgbClr val="43682B"/>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Sheet1!$AC$8:$AC$16</c:f>
              <c:numCache>
                <c:formatCode>General</c:formatCode>
                <c:ptCount val="9"/>
                <c:pt idx="1">
                  <c:v>-7.0999999999999899</c:v>
                </c:pt>
                <c:pt idx="2">
                  <c:v>-10</c:v>
                </c:pt>
                <c:pt idx="3">
                  <c:v>-1.3</c:v>
                </c:pt>
                <c:pt idx="4">
                  <c:v>4.7</c:v>
                </c:pt>
                <c:pt idx="5">
                  <c:v>-1</c:v>
                </c:pt>
                <c:pt idx="6">
                  <c:v>1.3</c:v>
                </c:pt>
                <c:pt idx="7">
                  <c:v>-1.8</c:v>
                </c:pt>
              </c:numCache>
            </c:numRef>
          </c:val>
          <c:smooth val="0"/>
          <c:extLst>
            <c:ext xmlns:c16="http://schemas.microsoft.com/office/drawing/2014/chart" uri="{C3380CC4-5D6E-409C-BE32-E72D297353CC}">
              <c16:uniqueId val="{00000021-87E4-4EF3-9B68-2177A0CF56D8}"/>
            </c:ext>
          </c:extLst>
        </c:ser>
        <c:ser>
          <c:idx val="12"/>
          <c:order val="12"/>
          <c:tx>
            <c:strRef>
              <c:f>Sheet1!$AD$7</c:f>
              <c:strCache>
                <c:ptCount val="1"/>
                <c:pt idx="0">
                  <c:v>M</c:v>
                </c:pt>
              </c:strCache>
            </c:strRef>
          </c:tx>
          <c:spPr>
            <a:ln w="12700" cap="rnd">
              <a:solidFill>
                <a:schemeClr val="accent1">
                  <a:lumMod val="80000"/>
                  <a:lumOff val="20000"/>
                </a:schemeClr>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Sheet1!$AD$8:$AD$16</c:f>
              <c:numCache>
                <c:formatCode>General</c:formatCode>
                <c:ptCount val="9"/>
                <c:pt idx="1">
                  <c:v>1.9000000000000099</c:v>
                </c:pt>
                <c:pt idx="2">
                  <c:v>2.5</c:v>
                </c:pt>
                <c:pt idx="3">
                  <c:v>0.70000000000000295</c:v>
                </c:pt>
                <c:pt idx="4">
                  <c:v>0.79999999999999705</c:v>
                </c:pt>
                <c:pt idx="5">
                  <c:v>2.2000000000000002</c:v>
                </c:pt>
                <c:pt idx="6">
                  <c:v>1.6</c:v>
                </c:pt>
                <c:pt idx="7">
                  <c:v>-0.89999999999999902</c:v>
                </c:pt>
              </c:numCache>
            </c:numRef>
          </c:val>
          <c:smooth val="0"/>
          <c:extLst>
            <c:ext xmlns:c16="http://schemas.microsoft.com/office/drawing/2014/chart" uri="{C3380CC4-5D6E-409C-BE32-E72D297353CC}">
              <c16:uniqueId val="{00000022-87E4-4EF3-9B68-2177A0CF56D8}"/>
            </c:ext>
          </c:extLst>
        </c:ser>
        <c:ser>
          <c:idx val="13"/>
          <c:order val="13"/>
          <c:tx>
            <c:strRef>
              <c:f>Sheet1!$AE$7</c:f>
              <c:strCache>
                <c:ptCount val="1"/>
                <c:pt idx="0">
                  <c:v>N</c:v>
                </c:pt>
              </c:strCache>
            </c:strRef>
          </c:tx>
          <c:spPr>
            <a:ln w="12700" cap="rnd">
              <a:solidFill>
                <a:srgbClr val="F1975A"/>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Sheet1!$AE$8:$AE$16</c:f>
              <c:numCache>
                <c:formatCode>General</c:formatCode>
                <c:ptCount val="9"/>
                <c:pt idx="1">
                  <c:v>-3.8</c:v>
                </c:pt>
                <c:pt idx="2">
                  <c:v>-2.8</c:v>
                </c:pt>
                <c:pt idx="3">
                  <c:v>-2.2000000000000002</c:v>
                </c:pt>
                <c:pt idx="4">
                  <c:v>-0.30000000000000399</c:v>
                </c:pt>
                <c:pt idx="5">
                  <c:v>2.9</c:v>
                </c:pt>
                <c:pt idx="6">
                  <c:v>11</c:v>
                </c:pt>
                <c:pt idx="7">
                  <c:v>18.5</c:v>
                </c:pt>
              </c:numCache>
            </c:numRef>
          </c:val>
          <c:smooth val="0"/>
          <c:extLst>
            <c:ext xmlns:c16="http://schemas.microsoft.com/office/drawing/2014/chart" uri="{C3380CC4-5D6E-409C-BE32-E72D297353CC}">
              <c16:uniqueId val="{00000023-87E4-4EF3-9B68-2177A0CF56D8}"/>
            </c:ext>
          </c:extLst>
        </c:ser>
        <c:ser>
          <c:idx val="14"/>
          <c:order val="14"/>
          <c:tx>
            <c:strRef>
              <c:f>Sheet1!$AF$7</c:f>
              <c:strCache>
                <c:ptCount val="1"/>
                <c:pt idx="0">
                  <c:v>O</c:v>
                </c:pt>
              </c:strCache>
            </c:strRef>
          </c:tx>
          <c:spPr>
            <a:ln w="12700" cap="rnd">
              <a:solidFill>
                <a:srgbClr val="B7B7B7"/>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Sheet1!$AF$8:$AF$16</c:f>
              <c:numCache>
                <c:formatCode>General</c:formatCode>
                <c:ptCount val="9"/>
                <c:pt idx="1">
                  <c:v>-8.0999999999999908</c:v>
                </c:pt>
                <c:pt idx="2">
                  <c:v>-7.5999999999999899</c:v>
                </c:pt>
                <c:pt idx="3">
                  <c:v>-5.2</c:v>
                </c:pt>
                <c:pt idx="4">
                  <c:v>-2</c:v>
                </c:pt>
                <c:pt idx="5">
                  <c:v>0.20000000000000301</c:v>
                </c:pt>
                <c:pt idx="6">
                  <c:v>-4</c:v>
                </c:pt>
                <c:pt idx="7">
                  <c:v>-8.6999999999999993</c:v>
                </c:pt>
              </c:numCache>
            </c:numRef>
          </c:val>
          <c:smooth val="0"/>
          <c:extLst>
            <c:ext xmlns:c16="http://schemas.microsoft.com/office/drawing/2014/chart" uri="{C3380CC4-5D6E-409C-BE32-E72D297353CC}">
              <c16:uniqueId val="{00000024-87E4-4EF3-9B68-2177A0CF56D8}"/>
            </c:ext>
          </c:extLst>
        </c:ser>
        <c:ser>
          <c:idx val="15"/>
          <c:order val="15"/>
          <c:tx>
            <c:strRef>
              <c:f>Sheet1!$AG$7</c:f>
              <c:strCache>
                <c:ptCount val="1"/>
                <c:pt idx="0">
                  <c:v>P</c:v>
                </c:pt>
              </c:strCache>
            </c:strRef>
          </c:tx>
          <c:spPr>
            <a:ln w="12700" cap="rnd">
              <a:solidFill>
                <a:srgbClr val="FFCD33"/>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Sheet1!$AG$8:$AG$16</c:f>
              <c:numCache>
                <c:formatCode>General</c:formatCode>
                <c:ptCount val="9"/>
                <c:pt idx="0">
                  <c:v>-6.0999999999999899</c:v>
                </c:pt>
                <c:pt idx="1">
                  <c:v>-7.5999999999999899</c:v>
                </c:pt>
                <c:pt idx="2">
                  <c:v>-8.6999999999999993</c:v>
                </c:pt>
                <c:pt idx="3">
                  <c:v>-4.4000000000000101</c:v>
                </c:pt>
                <c:pt idx="4">
                  <c:v>-1.0999999999999901</c:v>
                </c:pt>
                <c:pt idx="5">
                  <c:v>-7.2</c:v>
                </c:pt>
                <c:pt idx="6">
                  <c:v>-5.7</c:v>
                </c:pt>
                <c:pt idx="7">
                  <c:v>-9.6999999999999993</c:v>
                </c:pt>
              </c:numCache>
            </c:numRef>
          </c:val>
          <c:smooth val="0"/>
          <c:extLst>
            <c:ext xmlns:c16="http://schemas.microsoft.com/office/drawing/2014/chart" uri="{C3380CC4-5D6E-409C-BE32-E72D297353CC}">
              <c16:uniqueId val="{00000025-87E4-4EF3-9B68-2177A0CF56D8}"/>
            </c:ext>
          </c:extLst>
        </c:ser>
        <c:ser>
          <c:idx val="16"/>
          <c:order val="16"/>
          <c:tx>
            <c:strRef>
              <c:f>Sheet1!$AH$7</c:f>
              <c:strCache>
                <c:ptCount val="1"/>
                <c:pt idx="0">
                  <c:v>Q</c:v>
                </c:pt>
              </c:strCache>
            </c:strRef>
          </c:tx>
          <c:spPr>
            <a:ln w="12700" cap="rnd">
              <a:solidFill>
                <a:srgbClr val="7CAFDD"/>
              </a:solidFill>
              <a:round/>
            </a:ln>
            <a:effectLst/>
          </c:spPr>
          <c:marker>
            <c:symbol val="none"/>
          </c:marker>
          <c:cat>
            <c:strRef>
              <c:f>Sheet1!$Q$8:$Q$16</c:f>
              <c:strCache>
                <c:ptCount val="9"/>
                <c:pt idx="0">
                  <c:v>63</c:v>
                </c:pt>
                <c:pt idx="1">
                  <c:v>125</c:v>
                </c:pt>
                <c:pt idx="2">
                  <c:v>250</c:v>
                </c:pt>
                <c:pt idx="3">
                  <c:v>500</c:v>
                </c:pt>
                <c:pt idx="4">
                  <c:v>1000</c:v>
                </c:pt>
                <c:pt idx="5">
                  <c:v>2000</c:v>
                </c:pt>
                <c:pt idx="6">
                  <c:v>4000</c:v>
                </c:pt>
                <c:pt idx="7">
                  <c:v>8000</c:v>
                </c:pt>
                <c:pt idx="8">
                  <c:v>Total dBA</c:v>
                </c:pt>
              </c:strCache>
            </c:strRef>
          </c:cat>
          <c:val>
            <c:numRef>
              <c:f>Sheet1!$AH$8:$AH$16</c:f>
              <c:numCache>
                <c:formatCode>General</c:formatCode>
                <c:ptCount val="9"/>
                <c:pt idx="0">
                  <c:v>14</c:v>
                </c:pt>
                <c:pt idx="1">
                  <c:v>4.3</c:v>
                </c:pt>
                <c:pt idx="2">
                  <c:v>10.3</c:v>
                </c:pt>
                <c:pt idx="3">
                  <c:v>13.9</c:v>
                </c:pt>
                <c:pt idx="4">
                  <c:v>12.9</c:v>
                </c:pt>
                <c:pt idx="5">
                  <c:v>12.3</c:v>
                </c:pt>
                <c:pt idx="6">
                  <c:v>15.7</c:v>
                </c:pt>
                <c:pt idx="7">
                  <c:v>15.2</c:v>
                </c:pt>
              </c:numCache>
            </c:numRef>
          </c:val>
          <c:smooth val="0"/>
          <c:extLst>
            <c:ext xmlns:c16="http://schemas.microsoft.com/office/drawing/2014/chart" uri="{C3380CC4-5D6E-409C-BE32-E72D297353CC}">
              <c16:uniqueId val="{00000026-87E4-4EF3-9B68-2177A0CF56D8}"/>
            </c:ext>
          </c:extLst>
        </c:ser>
        <c:dLbls>
          <c:showLegendKey val="0"/>
          <c:showVal val="0"/>
          <c:showCatName val="0"/>
          <c:showSerName val="0"/>
          <c:showPercent val="0"/>
          <c:showBubbleSize val="0"/>
        </c:dLbls>
        <c:marker val="1"/>
        <c:smooth val="0"/>
        <c:axId val="1913340416"/>
        <c:axId val="1913342336"/>
      </c:lineChart>
      <c:catAx>
        <c:axId val="1913340416"/>
        <c:scaling>
          <c:orientation val="minMax"/>
        </c:scaling>
        <c:delete val="0"/>
        <c:axPos val="b"/>
        <c:title>
          <c:tx>
            <c:rich>
              <a:bodyPr rot="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r>
                  <a:rPr lang="en-CA" sz="700">
                    <a:solidFill>
                      <a:schemeClr val="tx1"/>
                    </a:solidFill>
                    <a:latin typeface="Arial" panose="020B0604020202020204" pitchFamily="34" charset="0"/>
                    <a:cs typeface="Arial" panose="020B0604020202020204" pitchFamily="34" charset="0"/>
                  </a:rPr>
                  <a:t>Octave</a:t>
                </a:r>
                <a:r>
                  <a:rPr lang="en-CA" sz="700" baseline="0">
                    <a:solidFill>
                      <a:schemeClr val="tx1"/>
                    </a:solidFill>
                    <a:latin typeface="Arial" panose="020B0604020202020204" pitchFamily="34" charset="0"/>
                    <a:cs typeface="Arial" panose="020B0604020202020204" pitchFamily="34" charset="0"/>
                  </a:rPr>
                  <a:t> Band Centre Frequency (Hz)</a:t>
                </a:r>
                <a:endParaRPr lang="en-CA" sz="700">
                  <a:solidFill>
                    <a:schemeClr val="tx1"/>
                  </a:solidFill>
                  <a:latin typeface="Arial" panose="020B0604020202020204" pitchFamily="34" charset="0"/>
                  <a:cs typeface="Arial" panose="020B0604020202020204" pitchFamily="34" charset="0"/>
                </a:endParaRPr>
              </a:p>
            </c:rich>
          </c:tx>
          <c:layout>
            <c:manualLayout>
              <c:xMode val="edge"/>
              <c:yMode val="edge"/>
              <c:x val="0.28894041022649947"/>
              <c:y val="0.91651051426191965"/>
            </c:manualLayout>
          </c:layout>
          <c:overlay val="0"/>
          <c:spPr>
            <a:solidFill>
              <a:sysClr val="window" lastClr="FFFFFF"/>
            </a:solidFill>
            <a:ln>
              <a:noFill/>
            </a:ln>
            <a:effectLst/>
          </c:spPr>
          <c:txPr>
            <a:bodyPr rot="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1913342336"/>
        <c:crossesAt val="-20"/>
        <c:auto val="1"/>
        <c:lblAlgn val="ctr"/>
        <c:lblOffset val="100"/>
        <c:noMultiLvlLbl val="0"/>
      </c:catAx>
      <c:valAx>
        <c:axId val="1913342336"/>
        <c:scaling>
          <c:orientation val="minMax"/>
          <c:max val="20"/>
          <c:min val="-2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r>
                  <a:rPr lang="en-CA" sz="700">
                    <a:solidFill>
                      <a:schemeClr val="tx1"/>
                    </a:solidFill>
                    <a:latin typeface="Arial" panose="020B0604020202020204" pitchFamily="34" charset="0"/>
                    <a:cs typeface="Arial" panose="020B0604020202020204" pitchFamily="34" charset="0"/>
                  </a:rPr>
                  <a:t>Difference in Sound Power Level (dB)</a:t>
                </a:r>
              </a:p>
            </c:rich>
          </c:tx>
          <c:layout>
            <c:manualLayout>
              <c:xMode val="edge"/>
              <c:yMode val="edge"/>
              <c:x val="2.0576131687242798E-2"/>
              <c:y val="0.22367004124484438"/>
            </c:manualLayout>
          </c:layout>
          <c:overlay val="0"/>
          <c:spPr>
            <a:noFill/>
            <a:ln>
              <a:noFill/>
            </a:ln>
            <a:effectLst/>
          </c:spPr>
          <c:txPr>
            <a:bodyPr rot="-540000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cross"/>
        <c:minorTickMark val="in"/>
        <c:tickLblPos val="nextTo"/>
        <c:spPr>
          <a:noFill/>
          <a:ln>
            <a:solidFill>
              <a:schemeClr val="accent1"/>
            </a:solidFill>
          </a:ln>
          <a:effectLst/>
        </c:spPr>
        <c:txPr>
          <a:bodyPr rot="-6000000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1913340416"/>
        <c:crosses val="autoZero"/>
        <c:crossBetween val="between"/>
      </c:valAx>
      <c:valAx>
        <c:axId val="496114416"/>
        <c:scaling>
          <c:orientation val="minMax"/>
          <c:max val="20"/>
          <c:min val="-20"/>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96114896"/>
        <c:crosses val="max"/>
        <c:crossBetween val="between"/>
      </c:valAx>
      <c:catAx>
        <c:axId val="496114896"/>
        <c:scaling>
          <c:orientation val="minMax"/>
        </c:scaling>
        <c:delete val="1"/>
        <c:axPos val="b"/>
        <c:numFmt formatCode="General" sourceLinked="1"/>
        <c:majorTickMark val="out"/>
        <c:minorTickMark val="none"/>
        <c:tickLblPos val="nextTo"/>
        <c:crossAx val="496114416"/>
        <c:crosses val="autoZero"/>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6CB41-DD98-E949-B673-1BBE8F614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JCAA_Word_Template.dotx</Template>
  <TotalTime>11</TotalTime>
  <Pages>2</Pages>
  <Words>1478</Words>
  <Characters>8426</Characters>
  <Application>Microsoft Office Word</Application>
  <DocSecurity>0</DocSecurity>
  <Lines>70</Lines>
  <Paragraphs>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ÉTS</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Pier-Gui Lalonde</dc:creator>
  <cp:keywords/>
  <dc:description/>
  <cp:lastModifiedBy>Pier-Gui Lalonde</cp:lastModifiedBy>
  <cp:revision>4</cp:revision>
  <cp:lastPrinted>2015-02-05T15:55:00Z</cp:lastPrinted>
  <dcterms:created xsi:type="dcterms:W3CDTF">2023-07-14T15:24:00Z</dcterms:created>
  <dcterms:modified xsi:type="dcterms:W3CDTF">2023-07-14T15:30:00Z</dcterms:modified>
</cp:coreProperties>
</file>