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12D0A5" w14:textId="77777777" w:rsidR="00216C18" w:rsidRDefault="009C40C8">
      <w:pPr>
        <w:spacing w:before="120" w:after="160" w:line="240" w:lineRule="auto"/>
        <w:jc w:val="center"/>
        <w:rPr>
          <w:rFonts w:ascii="Times New Roman" w:eastAsia="Times New Roman" w:hAnsi="Times New Roman" w:cs="Times New Roman"/>
          <w:b/>
          <w:smallCaps/>
          <w:sz w:val="28"/>
          <w:szCs w:val="28"/>
        </w:rPr>
      </w:pPr>
      <w:r>
        <w:rPr>
          <w:rFonts w:ascii="Times New Roman" w:eastAsia="Times New Roman" w:hAnsi="Times New Roman" w:cs="Times New Roman"/>
          <w:b/>
          <w:smallCaps/>
          <w:sz w:val="28"/>
          <w:szCs w:val="28"/>
        </w:rPr>
        <w:t>Speaker Accommodations Towards VUI Voices on the Dimensions of Voice Onset Time and Pitch Range</w:t>
      </w:r>
    </w:p>
    <w:p w14:paraId="07DB3BC3" w14:textId="3133568C" w:rsidR="00216C18" w:rsidRDefault="009C40C8">
      <w:pP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Gracellia Purnomo</w:t>
      </w:r>
      <w:r>
        <w:rPr>
          <w:rFonts w:ascii="Times New Roman" w:eastAsia="Times New Roman" w:hAnsi="Times New Roman" w:cs="Times New Roman"/>
          <w:b/>
          <w:sz w:val="20"/>
          <w:szCs w:val="20"/>
          <w:vertAlign w:val="superscript"/>
        </w:rPr>
        <w:t>1</w:t>
      </w:r>
      <w:r>
        <w:rPr>
          <w:rFonts w:ascii="Times New Roman" w:eastAsia="Times New Roman" w:hAnsi="Times New Roman" w:cs="Times New Roman"/>
          <w:b/>
          <w:sz w:val="20"/>
          <w:szCs w:val="20"/>
        </w:rPr>
        <w:t>, Chloë Farr</w:t>
      </w:r>
      <w:r>
        <w:rPr>
          <w:rFonts w:ascii="Times New Roman" w:eastAsia="Times New Roman" w:hAnsi="Times New Roman" w:cs="Times New Roman"/>
          <w:b/>
          <w:sz w:val="20"/>
          <w:szCs w:val="20"/>
          <w:vertAlign w:val="superscript"/>
        </w:rPr>
        <w:t>2</w:t>
      </w:r>
      <w:r>
        <w:rPr>
          <w:rFonts w:ascii="Times New Roman" w:eastAsia="Times New Roman" w:hAnsi="Times New Roman" w:cs="Times New Roman"/>
          <w:b/>
          <w:sz w:val="20"/>
          <w:szCs w:val="20"/>
        </w:rPr>
        <w:t>,</w:t>
      </w:r>
      <w:r w:rsidR="000D54F9">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Charissa Purnomo</w:t>
      </w:r>
      <w:r>
        <w:rPr>
          <w:rFonts w:ascii="Times New Roman" w:eastAsia="Times New Roman" w:hAnsi="Times New Roman" w:cs="Times New Roman"/>
          <w:b/>
          <w:sz w:val="20"/>
          <w:szCs w:val="20"/>
          <w:vertAlign w:val="superscript"/>
        </w:rPr>
        <w:t xml:space="preserve"> </w:t>
      </w:r>
      <w:r>
        <w:rPr>
          <w:rFonts w:ascii="Times New Roman" w:eastAsia="Times New Roman" w:hAnsi="Times New Roman" w:cs="Times New Roman"/>
          <w:sz w:val="20"/>
          <w:szCs w:val="20"/>
          <w:vertAlign w:val="superscript"/>
        </w:rPr>
        <w:t>3</w:t>
      </w:r>
      <w:r>
        <w:rPr>
          <w:rFonts w:ascii="Times New Roman" w:eastAsia="Times New Roman" w:hAnsi="Times New Roman" w:cs="Times New Roman"/>
          <w:b/>
          <w:sz w:val="20"/>
          <w:szCs w:val="20"/>
        </w:rPr>
        <w:t>, Nicole Ebbutt</w:t>
      </w:r>
      <w:r>
        <w:rPr>
          <w:rFonts w:ascii="Times New Roman" w:eastAsia="Times New Roman" w:hAnsi="Times New Roman" w:cs="Times New Roman"/>
          <w:sz w:val="20"/>
          <w:szCs w:val="20"/>
          <w:vertAlign w:val="superscript"/>
        </w:rPr>
        <w:t>3</w:t>
      </w:r>
      <w:r>
        <w:rPr>
          <w:rFonts w:ascii="Times New Roman" w:eastAsia="Times New Roman" w:hAnsi="Times New Roman" w:cs="Times New Roman"/>
          <w:b/>
          <w:sz w:val="20"/>
          <w:szCs w:val="20"/>
        </w:rPr>
        <w:t>, Amanda Cardoso</w:t>
      </w:r>
      <w:r>
        <w:rPr>
          <w:rFonts w:ascii="Times New Roman" w:eastAsia="Times New Roman" w:hAnsi="Times New Roman" w:cs="Times New Roman"/>
          <w:sz w:val="20"/>
          <w:szCs w:val="20"/>
          <w:vertAlign w:val="superscript"/>
        </w:rPr>
        <w:t>3</w:t>
      </w:r>
      <w:r w:rsidR="000D54F9">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b/>
          <w:sz w:val="20"/>
          <w:szCs w:val="20"/>
        </w:rPr>
        <w:t>and Bryan Gick</w:t>
      </w:r>
      <w:r>
        <w:rPr>
          <w:rFonts w:ascii="Times New Roman" w:eastAsia="Times New Roman" w:hAnsi="Times New Roman" w:cs="Times New Roman"/>
          <w:b/>
          <w:sz w:val="20"/>
          <w:szCs w:val="20"/>
          <w:vertAlign w:val="superscript"/>
        </w:rPr>
        <w:t>3,4</w:t>
      </w:r>
    </w:p>
    <w:p w14:paraId="009057F3" w14:textId="77777777" w:rsidR="00216C18" w:rsidRDefault="009C40C8">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1</w:t>
      </w:r>
      <w:r>
        <w:rPr>
          <w:rFonts w:ascii="Times New Roman" w:eastAsia="Times New Roman" w:hAnsi="Times New Roman" w:cs="Times New Roman"/>
          <w:sz w:val="20"/>
          <w:szCs w:val="20"/>
        </w:rPr>
        <w:t>School of Audiology and Speech Sciences, University of British Columbia</w:t>
      </w:r>
    </w:p>
    <w:p w14:paraId="3C8AA9EB" w14:textId="77777777" w:rsidR="00216C18" w:rsidRDefault="009C40C8">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2</w:t>
      </w:r>
      <w:r>
        <w:rPr>
          <w:rFonts w:ascii="Times New Roman" w:eastAsia="Times New Roman" w:hAnsi="Times New Roman" w:cs="Times New Roman"/>
          <w:sz w:val="20"/>
          <w:szCs w:val="20"/>
        </w:rPr>
        <w:t>Department of Linguistics, University of Victoria</w:t>
      </w:r>
    </w:p>
    <w:p w14:paraId="2EA56F65" w14:textId="77777777" w:rsidR="00216C18" w:rsidRDefault="009C40C8">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3</w:t>
      </w:r>
      <w:r>
        <w:rPr>
          <w:rFonts w:ascii="Times New Roman" w:eastAsia="Times New Roman" w:hAnsi="Times New Roman" w:cs="Times New Roman"/>
          <w:sz w:val="20"/>
          <w:szCs w:val="20"/>
        </w:rPr>
        <w:t>Department of Linguistics, University of British Columbia</w:t>
      </w:r>
    </w:p>
    <w:p w14:paraId="44B4722C" w14:textId="4089BB7F" w:rsidR="00216C18" w:rsidRPr="00D973C7" w:rsidRDefault="009C40C8" w:rsidP="00D973C7">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4</w:t>
      </w:r>
      <w:r>
        <w:rPr>
          <w:rFonts w:ascii="Times New Roman" w:eastAsia="Times New Roman" w:hAnsi="Times New Roman" w:cs="Times New Roman"/>
          <w:sz w:val="20"/>
          <w:szCs w:val="20"/>
        </w:rPr>
        <w:t>Haskins Laboratory, New Haven</w:t>
      </w:r>
    </w:p>
    <w:p w14:paraId="07326C75" w14:textId="77777777" w:rsidR="00D973C7" w:rsidRDefault="00D973C7" w:rsidP="00D973C7">
      <w:pPr>
        <w:spacing w:line="240" w:lineRule="auto"/>
        <w:rPr>
          <w:rFonts w:ascii="Times New Roman" w:eastAsia="Times New Roman" w:hAnsi="Times New Roman" w:cs="Times New Roman"/>
          <w:sz w:val="18"/>
          <w:szCs w:val="18"/>
        </w:rPr>
      </w:pPr>
    </w:p>
    <w:p w14:paraId="2CFE6370" w14:textId="78A90504" w:rsidR="00D973C7" w:rsidRPr="00D973C7" w:rsidRDefault="00D973C7" w:rsidP="00D973C7">
      <w:pPr>
        <w:spacing w:line="240" w:lineRule="auto"/>
        <w:rPr>
          <w:rFonts w:ascii="Times New Roman" w:eastAsia="Times New Roman" w:hAnsi="Times New Roman" w:cs="Times New Roman"/>
          <w:sz w:val="12"/>
          <w:szCs w:val="12"/>
        </w:rPr>
        <w:sectPr w:rsidR="00D973C7" w:rsidRPr="00D973C7">
          <w:pgSz w:w="12240" w:h="15840"/>
          <w:pgMar w:top="1440" w:right="1440" w:bottom="1440" w:left="1440" w:header="720" w:footer="720" w:gutter="0"/>
          <w:pgNumType w:start="1"/>
          <w:cols w:space="720"/>
        </w:sectPr>
      </w:pPr>
    </w:p>
    <w:p w14:paraId="6CE4B79C" w14:textId="699AA26D" w:rsidR="00CF0CF6" w:rsidRPr="00CF0CF6" w:rsidRDefault="009C40C8" w:rsidP="00CF0CF6">
      <w:pPr>
        <w:numPr>
          <w:ilvl w:val="0"/>
          <w:numId w:val="1"/>
        </w:numPr>
        <w:spacing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6E46F1FC" w14:textId="77777777" w:rsidR="00CF0CF6" w:rsidRDefault="00CF0CF6">
      <w:pPr>
        <w:spacing w:line="240" w:lineRule="auto"/>
        <w:ind w:firstLine="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There is a growing presence and integration of voice-user interfaces (VUIs) in the form of virtual assistants such as Siri, Alexa, and Google Home. VUIs are inanimate objects, however they use animate (human) voices to interact with their client. </w:t>
      </w:r>
    </w:p>
    <w:p w14:paraId="5728EB3A" w14:textId="3F7107D9" w:rsidR="00216C18" w:rsidRDefault="009C40C8">
      <w:pPr>
        <w:spacing w:line="240" w:lineRule="auto"/>
        <w:ind w:firstLine="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Accommodation occurs when</w:t>
      </w:r>
      <w:r w:rsidR="000D54F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an interlocutor adjusts their speech in relation</w:t>
      </w:r>
      <w:r w:rsidR="000D54F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to another interlocutor[1],  either</w:t>
      </w:r>
      <w:r w:rsidR="00CF0CF6">
        <w:rPr>
          <w:rFonts w:ascii="Times New Roman" w:eastAsia="Times New Roman" w:hAnsi="Times New Roman" w:cs="Times New Roman"/>
          <w:sz w:val="20"/>
          <w:szCs w:val="20"/>
        </w:rPr>
        <w:t xml:space="preserve"> by</w:t>
      </w:r>
      <w:r>
        <w:rPr>
          <w:rFonts w:ascii="Times New Roman" w:eastAsia="Times New Roman" w:hAnsi="Times New Roman" w:cs="Times New Roman"/>
          <w:sz w:val="20"/>
          <w:szCs w:val="20"/>
        </w:rPr>
        <w:t xml:space="preserve"> converging </w:t>
      </w:r>
      <w:r w:rsidR="00CF0CF6">
        <w:rPr>
          <w:rFonts w:ascii="Times New Roman" w:eastAsia="Times New Roman" w:hAnsi="Times New Roman" w:cs="Times New Roman"/>
          <w:sz w:val="20"/>
          <w:szCs w:val="20"/>
        </w:rPr>
        <w:t>(</w:t>
      </w:r>
      <w:r>
        <w:rPr>
          <w:rFonts w:ascii="Times New Roman" w:eastAsia="Times New Roman" w:hAnsi="Times New Roman" w:cs="Times New Roman"/>
          <w:sz w:val="20"/>
          <w:szCs w:val="20"/>
        </w:rPr>
        <w:t>becoming more similar</w:t>
      </w:r>
      <w:r w:rsidR="00CF0CF6">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to</w:t>
      </w:r>
      <w:r w:rsidR="00CF0CF6">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or </w:t>
      </w:r>
      <w:r w:rsidR="00CF0CF6">
        <w:rPr>
          <w:rFonts w:ascii="Times New Roman" w:eastAsia="Times New Roman" w:hAnsi="Times New Roman" w:cs="Times New Roman"/>
          <w:sz w:val="20"/>
          <w:szCs w:val="20"/>
        </w:rPr>
        <w:t xml:space="preserve">by </w:t>
      </w:r>
      <w:r>
        <w:rPr>
          <w:rFonts w:ascii="Times New Roman" w:eastAsia="Times New Roman" w:hAnsi="Times New Roman" w:cs="Times New Roman"/>
          <w:sz w:val="20"/>
          <w:szCs w:val="20"/>
        </w:rPr>
        <w:t>diverging</w:t>
      </w:r>
      <w:r w:rsidR="00CF0CF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becoming more different</w:t>
      </w:r>
      <w:r w:rsidR="00CF0CF6">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from</w:t>
      </w:r>
      <w:r w:rsidR="00CF0CF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the other speaker. Speakers may accommodate on any level of the hierarchy of linguistic features, including syntactic features, lexical choices, or phonetic features of their speech [2], the last of which is the focus of the current investigation. On the phonetic level, voice onset time (VOT) [3] and pitch range [4, 5] have been identified as common features in which speakers accommodate to an</w:t>
      </w:r>
      <w:r w:rsidR="000D54F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interlocutor. </w:t>
      </w:r>
    </w:p>
    <w:p w14:paraId="57D4FBF7" w14:textId="3D474D41" w:rsidR="00216C18" w:rsidRDefault="00CF0CF6">
      <w:pPr>
        <w:spacing w:line="240" w:lineRule="auto"/>
        <w:ind w:firstLine="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present paper considers</w:t>
      </w:r>
      <w:r w:rsidR="009C40C8">
        <w:rPr>
          <w:rFonts w:ascii="Times New Roman" w:eastAsia="Times New Roman" w:hAnsi="Times New Roman" w:cs="Times New Roman"/>
          <w:sz w:val="20"/>
          <w:szCs w:val="20"/>
        </w:rPr>
        <w:t xml:space="preserve"> whether or not interlocutors may employ the same types of speaker accommodation towards these inanimate objects. In addition, since the human-likeness, or perceived animacy of VUIs can be different amongst operating systems, the additional question arises of whether the perceived human</w:t>
      </w:r>
      <w:r>
        <w:rPr>
          <w:rFonts w:ascii="Times New Roman" w:eastAsia="Times New Roman" w:hAnsi="Times New Roman" w:cs="Times New Roman"/>
          <w:sz w:val="20"/>
          <w:szCs w:val="20"/>
        </w:rPr>
        <w:t>-</w:t>
      </w:r>
      <w:r w:rsidR="009C40C8">
        <w:rPr>
          <w:rFonts w:ascii="Times New Roman" w:eastAsia="Times New Roman" w:hAnsi="Times New Roman" w:cs="Times New Roman"/>
          <w:sz w:val="20"/>
          <w:szCs w:val="20"/>
        </w:rPr>
        <w:t>likeness may further increase the likelihood of the device being treated as such. The present study examines whether speakers accommodate voice onset time (VOT) and pitch</w:t>
      </w:r>
      <w:r w:rsidR="000D54F9">
        <w:rPr>
          <w:rFonts w:ascii="Times New Roman" w:eastAsia="Times New Roman" w:hAnsi="Times New Roman" w:cs="Times New Roman"/>
          <w:sz w:val="20"/>
          <w:szCs w:val="20"/>
        </w:rPr>
        <w:t xml:space="preserve"> </w:t>
      </w:r>
      <w:r w:rsidR="009C40C8">
        <w:rPr>
          <w:rFonts w:ascii="Times New Roman" w:eastAsia="Times New Roman" w:hAnsi="Times New Roman" w:cs="Times New Roman"/>
          <w:sz w:val="20"/>
          <w:szCs w:val="20"/>
        </w:rPr>
        <w:t>to VUI voices and the extent to which the human-likeness of the voice influences accommodation.</w:t>
      </w:r>
    </w:p>
    <w:p w14:paraId="20D32227" w14:textId="77777777" w:rsidR="00216C18" w:rsidRDefault="00216C18">
      <w:pPr>
        <w:spacing w:line="240" w:lineRule="auto"/>
        <w:ind w:firstLine="720"/>
        <w:jc w:val="both"/>
        <w:rPr>
          <w:rFonts w:ascii="Times New Roman" w:eastAsia="Times New Roman" w:hAnsi="Times New Roman" w:cs="Times New Roman"/>
          <w:sz w:val="10"/>
          <w:szCs w:val="10"/>
        </w:rPr>
      </w:pPr>
    </w:p>
    <w:p w14:paraId="5ED1E977" w14:textId="77777777" w:rsidR="00216C18" w:rsidRDefault="009C40C8">
      <w:pPr>
        <w:numPr>
          <w:ilvl w:val="0"/>
          <w:numId w:val="1"/>
        </w:numPr>
        <w:spacing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Methods</w:t>
      </w:r>
    </w:p>
    <w:p w14:paraId="35F65605" w14:textId="77777777" w:rsidR="00216C18" w:rsidRDefault="009C40C8">
      <w:pPr>
        <w:numPr>
          <w:ilvl w:val="1"/>
          <w:numId w:val="1"/>
        </w:numPr>
        <w:spacing w:after="120" w:line="240" w:lineRule="auto"/>
        <w:jc w:val="both"/>
        <w:rPr>
          <w:rFonts w:ascii="Times New Roman" w:eastAsia="Times New Roman" w:hAnsi="Times New Roman" w:cs="Times New Roman"/>
          <w:b/>
        </w:rPr>
      </w:pPr>
      <w:r>
        <w:rPr>
          <w:rFonts w:ascii="Times New Roman" w:eastAsia="Times New Roman" w:hAnsi="Times New Roman" w:cs="Times New Roman"/>
          <w:b/>
        </w:rPr>
        <w:t>“VUI” voices</w:t>
      </w:r>
    </w:p>
    <w:p w14:paraId="464EC4D9" w14:textId="771B0CDB" w:rsidR="00216C18" w:rsidRDefault="009C40C8">
      <w:pPr>
        <w:spacing w:line="240" w:lineRule="auto"/>
        <w:ind w:firstLine="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Four Amazon Polly [6] synthetic voices were rated by 26 linguists for perceived human-likeness and the voice</w:t>
      </w:r>
      <w:r w:rsidR="003123BE">
        <w:rPr>
          <w:rFonts w:ascii="Times New Roman" w:eastAsia="Times New Roman" w:hAnsi="Times New Roman" w:cs="Times New Roman"/>
          <w:sz w:val="20"/>
          <w:szCs w:val="20"/>
        </w:rPr>
        <w:t>s</w:t>
      </w:r>
      <w:r>
        <w:rPr>
          <w:rFonts w:ascii="Times New Roman" w:eastAsia="Times New Roman" w:hAnsi="Times New Roman" w:cs="Times New Roman"/>
          <w:sz w:val="20"/>
          <w:szCs w:val="20"/>
        </w:rPr>
        <w:t xml:space="preserve"> rated most and least</w:t>
      </w:r>
      <w:r w:rsidR="000D54F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human-like</w:t>
      </w:r>
      <w:r w:rsidR="000D54F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were used in the experiment. Polly’s standard system </w:t>
      </w:r>
      <w:r w:rsidR="003123BE">
        <w:rPr>
          <w:rFonts w:ascii="Times New Roman" w:eastAsia="Times New Roman" w:hAnsi="Times New Roman" w:cs="Times New Roman"/>
          <w:sz w:val="20"/>
          <w:szCs w:val="20"/>
        </w:rPr>
        <w:t xml:space="preserve">was </w:t>
      </w:r>
      <w:r w:rsidR="00CF0CF6">
        <w:rPr>
          <w:rFonts w:ascii="Times New Roman" w:eastAsia="Times New Roman" w:hAnsi="Times New Roman" w:cs="Times New Roman"/>
          <w:sz w:val="20"/>
          <w:szCs w:val="20"/>
        </w:rPr>
        <w:t xml:space="preserve">used as the robotic voice </w:t>
      </w:r>
      <w:r w:rsidR="003123BE">
        <w:rPr>
          <w:rFonts w:ascii="Times New Roman" w:eastAsia="Times New Roman" w:hAnsi="Times New Roman" w:cs="Times New Roman"/>
          <w:sz w:val="20"/>
          <w:szCs w:val="20"/>
        </w:rPr>
        <w:t>(</w:t>
      </w:r>
      <w:r>
        <w:rPr>
          <w:rFonts w:ascii="Times New Roman" w:eastAsia="Times New Roman" w:hAnsi="Times New Roman" w:cs="Times New Roman"/>
          <w:sz w:val="20"/>
          <w:szCs w:val="20"/>
        </w:rPr>
        <w:t>hereafter “R”),</w:t>
      </w:r>
      <w:r w:rsidR="003123BE">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and Polly’s neural system </w:t>
      </w:r>
      <w:r w:rsidR="003123BE">
        <w:rPr>
          <w:rFonts w:ascii="Times New Roman" w:eastAsia="Times New Roman" w:hAnsi="Times New Roman" w:cs="Times New Roman"/>
          <w:sz w:val="20"/>
          <w:szCs w:val="20"/>
        </w:rPr>
        <w:t xml:space="preserve">was </w:t>
      </w:r>
      <w:r w:rsidR="00CF0CF6">
        <w:rPr>
          <w:rFonts w:ascii="Times New Roman" w:eastAsia="Times New Roman" w:hAnsi="Times New Roman" w:cs="Times New Roman"/>
          <w:sz w:val="20"/>
          <w:szCs w:val="20"/>
        </w:rPr>
        <w:t xml:space="preserve">used as the human-like voice </w:t>
      </w:r>
      <w:r w:rsidR="003123BE">
        <w:rPr>
          <w:rFonts w:ascii="Times New Roman" w:eastAsia="Times New Roman" w:hAnsi="Times New Roman" w:cs="Times New Roman"/>
          <w:sz w:val="20"/>
          <w:szCs w:val="20"/>
        </w:rPr>
        <w:t>(</w:t>
      </w:r>
      <w:r>
        <w:rPr>
          <w:rFonts w:ascii="Times New Roman" w:eastAsia="Times New Roman" w:hAnsi="Times New Roman" w:cs="Times New Roman"/>
          <w:sz w:val="20"/>
          <w:szCs w:val="20"/>
        </w:rPr>
        <w:t>hereafter “H</w:t>
      </w:r>
      <w:r w:rsidR="003123BE">
        <w:rPr>
          <w:rFonts w:ascii="Times New Roman" w:eastAsia="Times New Roman" w:hAnsi="Times New Roman" w:cs="Times New Roman"/>
          <w:sz w:val="20"/>
          <w:szCs w:val="20"/>
        </w:rPr>
        <w:t>”) as a consequent of these ratings</w:t>
      </w:r>
      <w:r>
        <w:rPr>
          <w:rFonts w:ascii="Times New Roman" w:eastAsia="Times New Roman" w:hAnsi="Times New Roman" w:cs="Times New Roman"/>
          <w:sz w:val="20"/>
          <w:szCs w:val="20"/>
        </w:rPr>
        <w:t xml:space="preserve">. As VOT was similar for both voices, in order to be able to see the extent of accommodation, the VOT was manipulated in </w:t>
      </w:r>
      <w:proofErr w:type="spellStart"/>
      <w:r>
        <w:rPr>
          <w:rFonts w:ascii="Times New Roman" w:eastAsia="Times New Roman" w:hAnsi="Times New Roman" w:cs="Times New Roman"/>
          <w:sz w:val="20"/>
          <w:szCs w:val="20"/>
        </w:rPr>
        <w:t>Praat</w:t>
      </w:r>
      <w:proofErr w:type="spellEnd"/>
      <w:r>
        <w:rPr>
          <w:rFonts w:ascii="Times New Roman" w:eastAsia="Times New Roman" w:hAnsi="Times New Roman" w:cs="Times New Roman"/>
          <w:sz w:val="20"/>
          <w:szCs w:val="20"/>
        </w:rPr>
        <w:t xml:space="preserve"> [7] so that the VOT of the voiceless plosive consonants of R were twice the length of the Amazon Polly output, and half the length for H. These voices were used to mimic a VUI system in that the responses would be </w:t>
      </w:r>
      <w:r>
        <w:rPr>
          <w:rFonts w:ascii="Times New Roman" w:eastAsia="Times New Roman" w:hAnsi="Times New Roman" w:cs="Times New Roman"/>
          <w:sz w:val="20"/>
          <w:szCs w:val="20"/>
        </w:rPr>
        <w:t>played directly after a participant read out pre-determined prompts.</w:t>
      </w:r>
    </w:p>
    <w:p w14:paraId="56E29A2A" w14:textId="77777777" w:rsidR="00216C18" w:rsidRDefault="00216C18">
      <w:pPr>
        <w:spacing w:line="240" w:lineRule="auto"/>
        <w:ind w:firstLine="720"/>
        <w:jc w:val="both"/>
        <w:rPr>
          <w:rFonts w:ascii="Times New Roman" w:eastAsia="Times New Roman" w:hAnsi="Times New Roman" w:cs="Times New Roman"/>
          <w:sz w:val="20"/>
          <w:szCs w:val="20"/>
        </w:rPr>
      </w:pPr>
    </w:p>
    <w:p w14:paraId="4E411539" w14:textId="77777777" w:rsidR="00216C18" w:rsidRDefault="009C40C8">
      <w:pPr>
        <w:numPr>
          <w:ilvl w:val="1"/>
          <w:numId w:val="1"/>
        </w:numPr>
        <w:spacing w:after="120" w:line="240" w:lineRule="auto"/>
        <w:jc w:val="both"/>
        <w:rPr>
          <w:rFonts w:ascii="Times New Roman" w:eastAsia="Times New Roman" w:hAnsi="Times New Roman" w:cs="Times New Roman"/>
          <w:b/>
        </w:rPr>
      </w:pPr>
      <w:r>
        <w:rPr>
          <w:rFonts w:ascii="Times New Roman" w:eastAsia="Times New Roman" w:hAnsi="Times New Roman" w:cs="Times New Roman"/>
          <w:b/>
        </w:rPr>
        <w:t>Experiment</w:t>
      </w:r>
    </w:p>
    <w:p w14:paraId="31D80EFD" w14:textId="77777777" w:rsidR="00216C18" w:rsidRDefault="009C40C8">
      <w:pPr>
        <w:spacing w:line="240" w:lineRule="auto"/>
        <w:ind w:firstLine="720"/>
        <w:jc w:val="both"/>
        <w:rPr>
          <w:rFonts w:ascii="Times New Roman" w:eastAsia="Times New Roman" w:hAnsi="Times New Roman" w:cs="Times New Roman"/>
          <w:sz w:val="18"/>
          <w:szCs w:val="18"/>
        </w:rPr>
      </w:pPr>
      <w:r>
        <w:rPr>
          <w:rFonts w:ascii="Times New Roman" w:eastAsia="Times New Roman" w:hAnsi="Times New Roman" w:cs="Times New Roman"/>
          <w:sz w:val="20"/>
          <w:szCs w:val="20"/>
        </w:rPr>
        <w:t xml:space="preserve">The study took place virtually via UBC-secured Zoom. Participants were asked to read two practice prompts (pre-test) presented on their screen, from which they heard no response. This was followed by thirteen prompts for which they heard a response from the VUI voice (post-test). For example, the participant read the prompt “Where can I buy pots and pans?” which the VUI responded by saying “You can buy pots and pans from Canadian Tire.” This procedure was repeated with the same prompts for “R” and “H”. Participants then completed a survey regarding their professional and personal experiences with VUIs, and what they believed the experiment to be about. No participants had professional experience with VUI and all participants believed that they were interacting with an authentic VUI system. </w:t>
      </w:r>
    </w:p>
    <w:p w14:paraId="48C3CD3C" w14:textId="77777777" w:rsidR="00216C18" w:rsidRDefault="00216C18">
      <w:pPr>
        <w:spacing w:line="240" w:lineRule="auto"/>
        <w:jc w:val="both"/>
        <w:rPr>
          <w:rFonts w:ascii="Times New Roman" w:eastAsia="Times New Roman" w:hAnsi="Times New Roman" w:cs="Times New Roman"/>
          <w:sz w:val="20"/>
          <w:szCs w:val="20"/>
        </w:rPr>
      </w:pPr>
    </w:p>
    <w:p w14:paraId="1AA56206" w14:textId="77777777" w:rsidR="00216C18" w:rsidRDefault="009C40C8">
      <w:pPr>
        <w:numPr>
          <w:ilvl w:val="1"/>
          <w:numId w:val="1"/>
        </w:numPr>
        <w:spacing w:after="120" w:line="240" w:lineRule="auto"/>
        <w:jc w:val="both"/>
        <w:rPr>
          <w:rFonts w:ascii="Times New Roman" w:eastAsia="Times New Roman" w:hAnsi="Times New Roman" w:cs="Times New Roman"/>
          <w:b/>
        </w:rPr>
      </w:pPr>
      <w:r>
        <w:rPr>
          <w:rFonts w:ascii="Times New Roman" w:eastAsia="Times New Roman" w:hAnsi="Times New Roman" w:cs="Times New Roman"/>
          <w:b/>
        </w:rPr>
        <w:t>Participants</w:t>
      </w:r>
    </w:p>
    <w:p w14:paraId="55AE30E2" w14:textId="41551251" w:rsidR="00216C18" w:rsidRDefault="009C40C8">
      <w:pPr>
        <w:spacing w:line="240" w:lineRule="auto"/>
        <w:ind w:firstLine="720"/>
        <w:jc w:val="both"/>
        <w:rPr>
          <w:rFonts w:ascii="Times New Roman" w:eastAsia="Times New Roman" w:hAnsi="Times New Roman" w:cs="Times New Roman"/>
          <w:b/>
        </w:rPr>
      </w:pPr>
      <w:r>
        <w:rPr>
          <w:rFonts w:ascii="Times New Roman" w:eastAsia="Times New Roman" w:hAnsi="Times New Roman" w:cs="Times New Roman"/>
          <w:sz w:val="20"/>
          <w:szCs w:val="20"/>
        </w:rPr>
        <w:t>Forty-two English-speaking participants were recruited through UBC’s Linguistics in the Classroom (LOC)</w:t>
      </w:r>
      <w:r w:rsidR="000D54F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system. Participants with poor audio or speakers who did not report English as their dominant language were omitted, leaving 25 participants. Participants were assigned to one of two counterbalanced presentations of the voices (voice order).</w:t>
      </w:r>
    </w:p>
    <w:p w14:paraId="16962A7E" w14:textId="77777777" w:rsidR="00216C18" w:rsidRDefault="009C40C8">
      <w:pPr>
        <w:spacing w:before="60" w:after="12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noProof/>
          <w:sz w:val="18"/>
          <w:szCs w:val="18"/>
        </w:rPr>
        <w:drawing>
          <wp:inline distT="19050" distB="19050" distL="19050" distR="19050" wp14:anchorId="051B14E2" wp14:editId="6A34990A">
            <wp:extent cx="2520461" cy="1418492"/>
            <wp:effectExtent l="0" t="0" r="0" b="444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t="4965"/>
                    <a:stretch>
                      <a:fillRect/>
                    </a:stretch>
                  </pic:blipFill>
                  <pic:spPr>
                    <a:xfrm>
                      <a:off x="0" y="0"/>
                      <a:ext cx="2557535" cy="1439357"/>
                    </a:xfrm>
                    <a:prstGeom prst="rect">
                      <a:avLst/>
                    </a:prstGeom>
                    <a:ln/>
                  </pic:spPr>
                </pic:pic>
              </a:graphicData>
            </a:graphic>
          </wp:inline>
        </w:drawing>
      </w:r>
    </w:p>
    <w:p w14:paraId="19E8D5D4" w14:textId="77777777" w:rsidR="00216C18" w:rsidRDefault="009C40C8">
      <w:pPr>
        <w:spacing w:before="60" w:after="12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Figure 1:</w:t>
      </w:r>
      <w:r>
        <w:rPr>
          <w:rFonts w:ascii="Times New Roman" w:eastAsia="Times New Roman" w:hAnsi="Times New Roman" w:cs="Times New Roman"/>
          <w:sz w:val="18"/>
          <w:szCs w:val="18"/>
        </w:rPr>
        <w:t xml:space="preserve"> </w:t>
      </w:r>
      <w:r>
        <w:rPr>
          <w:rFonts w:ascii="Times New Roman" w:eastAsia="Times New Roman" w:hAnsi="Times New Roman" w:cs="Times New Roman"/>
          <w:b/>
          <w:sz w:val="18"/>
          <w:szCs w:val="18"/>
        </w:rPr>
        <w:t>Screenshot of participants' view.</w:t>
      </w:r>
    </w:p>
    <w:p w14:paraId="145FE662" w14:textId="77777777" w:rsidR="00216C18" w:rsidRPr="00D973C7" w:rsidRDefault="00216C18">
      <w:pPr>
        <w:spacing w:line="240" w:lineRule="auto"/>
        <w:jc w:val="both"/>
        <w:rPr>
          <w:rFonts w:ascii="Times New Roman" w:eastAsia="Times New Roman" w:hAnsi="Times New Roman" w:cs="Times New Roman"/>
          <w:sz w:val="10"/>
          <w:szCs w:val="10"/>
        </w:rPr>
      </w:pPr>
    </w:p>
    <w:p w14:paraId="3E15F234" w14:textId="77777777" w:rsidR="00216C18" w:rsidRDefault="009C40C8">
      <w:pPr>
        <w:spacing w:line="240" w:lineRule="auto"/>
        <w:jc w:val="both"/>
        <w:rPr>
          <w:rFonts w:ascii="Times New Roman" w:eastAsia="Times New Roman" w:hAnsi="Times New Roman" w:cs="Times New Roman"/>
          <w:b/>
        </w:rPr>
      </w:pPr>
      <w:r>
        <w:rPr>
          <w:rFonts w:ascii="Times New Roman" w:eastAsia="Times New Roman" w:hAnsi="Times New Roman" w:cs="Times New Roman"/>
          <w:b/>
        </w:rPr>
        <w:t>2.3</w:t>
      </w:r>
      <w:r>
        <w:rPr>
          <w:rFonts w:ascii="Times New Roman" w:eastAsia="Times New Roman" w:hAnsi="Times New Roman" w:cs="Times New Roman"/>
          <w:b/>
        </w:rPr>
        <w:tab/>
        <w:t>Measurements</w:t>
      </w:r>
    </w:p>
    <w:p w14:paraId="0016CDF1" w14:textId="5CBBD228" w:rsidR="00216C18" w:rsidRDefault="009C40C8" w:rsidP="00F05AD7">
      <w:pPr>
        <w:spacing w:line="240" w:lineRule="auto"/>
        <w:ind w:firstLine="720"/>
        <w:jc w:val="both"/>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Textgrids</w:t>
      </w:r>
      <w:proofErr w:type="spellEnd"/>
      <w:r>
        <w:rPr>
          <w:rFonts w:ascii="Times New Roman" w:eastAsia="Times New Roman" w:hAnsi="Times New Roman" w:cs="Times New Roman"/>
          <w:sz w:val="20"/>
          <w:szCs w:val="20"/>
        </w:rPr>
        <w:t xml:space="preserve"> for participants' audio recordings</w:t>
      </w:r>
      <w:r w:rsidR="000D54F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were generated using Montreal Forced Aligner [7]. Each voiceless plosive VOT length was manually marked </w:t>
      </w:r>
      <w:r w:rsidR="00002FC5">
        <w:rPr>
          <w:rFonts w:ascii="Times New Roman" w:eastAsia="Times New Roman" w:hAnsi="Times New Roman" w:cs="Times New Roman"/>
          <w:sz w:val="20"/>
          <w:szCs w:val="20"/>
        </w:rPr>
        <w:t xml:space="preserve">with high </w:t>
      </w:r>
      <w:r w:rsidR="00002FC5">
        <w:rPr>
          <w:rFonts w:ascii="Times New Roman" w:eastAsia="Times New Roman" w:hAnsi="Times New Roman" w:cs="Times New Roman"/>
          <w:sz w:val="20"/>
          <w:szCs w:val="20"/>
        </w:rPr>
        <w:lastRenderedPageBreak/>
        <w:t xml:space="preserve">interrater reliability </w:t>
      </w:r>
      <w:r>
        <w:rPr>
          <w:rFonts w:ascii="Times New Roman" w:eastAsia="Times New Roman" w:hAnsi="Times New Roman" w:cs="Times New Roman"/>
          <w:sz w:val="20"/>
          <w:szCs w:val="20"/>
        </w:rPr>
        <w:t xml:space="preserve">and then extracted using a </w:t>
      </w:r>
      <w:proofErr w:type="spellStart"/>
      <w:r>
        <w:rPr>
          <w:rFonts w:ascii="Times New Roman" w:eastAsia="Times New Roman" w:hAnsi="Times New Roman" w:cs="Times New Roman"/>
          <w:sz w:val="20"/>
          <w:szCs w:val="20"/>
        </w:rPr>
        <w:t>Praat</w:t>
      </w:r>
      <w:proofErr w:type="spellEnd"/>
      <w:r>
        <w:rPr>
          <w:rFonts w:ascii="Times New Roman" w:eastAsia="Times New Roman" w:hAnsi="Times New Roman" w:cs="Times New Roman"/>
          <w:sz w:val="20"/>
          <w:szCs w:val="20"/>
        </w:rPr>
        <w:t xml:space="preserve"> script.</w:t>
      </w:r>
      <w:r w:rsidR="00F05AD7">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Pitch trajectories of acoustic syllables for each prompt sentence were extracted automatically using </w:t>
      </w:r>
      <w:proofErr w:type="spellStart"/>
      <w:r>
        <w:rPr>
          <w:rFonts w:ascii="Times New Roman" w:eastAsia="Times New Roman" w:hAnsi="Times New Roman" w:cs="Times New Roman"/>
          <w:sz w:val="20"/>
          <w:szCs w:val="20"/>
        </w:rPr>
        <w:t>Prosogram</w:t>
      </w:r>
      <w:proofErr w:type="spellEnd"/>
      <w:r>
        <w:rPr>
          <w:rFonts w:ascii="Times New Roman" w:eastAsia="Times New Roman" w:hAnsi="Times New Roman" w:cs="Times New Roman"/>
          <w:sz w:val="20"/>
          <w:szCs w:val="20"/>
        </w:rPr>
        <w:t xml:space="preserve"> [8]. We report the results for mean and median F0 in semitones and </w:t>
      </w:r>
      <w:proofErr w:type="spellStart"/>
      <w:r>
        <w:rPr>
          <w:rFonts w:ascii="Times New Roman" w:eastAsia="Times New Roman" w:hAnsi="Times New Roman" w:cs="Times New Roman"/>
          <w:sz w:val="20"/>
          <w:szCs w:val="20"/>
        </w:rPr>
        <w:t>TrajPhonZ</w:t>
      </w:r>
      <w:proofErr w:type="spellEnd"/>
      <w:r>
        <w:rPr>
          <w:rFonts w:ascii="Times New Roman" w:eastAsia="Times New Roman" w:hAnsi="Times New Roman" w:cs="Times New Roman"/>
          <w:sz w:val="20"/>
          <w:szCs w:val="20"/>
        </w:rPr>
        <w:t xml:space="preserve">, which is essentially a Z-scored measure of how variable the pitch is. </w:t>
      </w:r>
    </w:p>
    <w:p w14:paraId="05E74409" w14:textId="77777777" w:rsidR="00216C18" w:rsidRDefault="00216C18">
      <w:pPr>
        <w:spacing w:line="240" w:lineRule="auto"/>
        <w:ind w:firstLine="720"/>
        <w:jc w:val="both"/>
        <w:rPr>
          <w:rFonts w:ascii="Times New Roman" w:eastAsia="Times New Roman" w:hAnsi="Times New Roman" w:cs="Times New Roman"/>
          <w:sz w:val="16"/>
          <w:szCs w:val="16"/>
        </w:rPr>
      </w:pPr>
    </w:p>
    <w:p w14:paraId="1429CA91" w14:textId="77777777" w:rsidR="00216C18" w:rsidRDefault="009C40C8">
      <w:pPr>
        <w:numPr>
          <w:ilvl w:val="0"/>
          <w:numId w:val="1"/>
        </w:numPr>
        <w:spacing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Results</w:t>
      </w:r>
    </w:p>
    <w:p w14:paraId="224CCDC6" w14:textId="77777777" w:rsidR="00216C18" w:rsidRDefault="009C40C8" w:rsidP="00D973C7">
      <w:pPr>
        <w:spacing w:after="12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114300" distB="114300" distL="114300" distR="114300" wp14:anchorId="5049E40F" wp14:editId="3DBEED4A">
            <wp:extent cx="2647950" cy="166114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l="7716" t="12584" r="9876" b="4239"/>
                    <a:stretch>
                      <a:fillRect/>
                    </a:stretch>
                  </pic:blipFill>
                  <pic:spPr>
                    <a:xfrm>
                      <a:off x="0" y="0"/>
                      <a:ext cx="2647950" cy="1661145"/>
                    </a:xfrm>
                    <a:prstGeom prst="rect">
                      <a:avLst/>
                    </a:prstGeom>
                    <a:ln/>
                  </pic:spPr>
                </pic:pic>
              </a:graphicData>
            </a:graphic>
          </wp:inline>
        </w:drawing>
      </w:r>
    </w:p>
    <w:p w14:paraId="777EF5F1" w14:textId="77777777" w:rsidR="00216C18" w:rsidRDefault="009C40C8">
      <w:pPr>
        <w:spacing w:after="120" w:line="240" w:lineRule="auto"/>
        <w:jc w:val="both"/>
        <w:rPr>
          <w:rFonts w:ascii="Times New Roman" w:eastAsia="Times New Roman" w:hAnsi="Times New Roman" w:cs="Times New Roman"/>
          <w:sz w:val="18"/>
          <w:szCs w:val="18"/>
        </w:rPr>
      </w:pPr>
      <w:r>
        <w:rPr>
          <w:rFonts w:ascii="Times New Roman" w:eastAsia="Times New Roman" w:hAnsi="Times New Roman" w:cs="Times New Roman"/>
          <w:b/>
          <w:sz w:val="18"/>
          <w:szCs w:val="18"/>
        </w:rPr>
        <w:t>Figure 2: VOT results by voice order group and response voice</w:t>
      </w:r>
    </w:p>
    <w:p w14:paraId="5CAE2472" w14:textId="77777777" w:rsidR="00216C18" w:rsidRDefault="009C40C8">
      <w:pPr>
        <w:spacing w:after="120" w:line="240" w:lineRule="auto"/>
        <w:ind w:firstLine="720"/>
        <w:jc w:val="both"/>
        <w:rPr>
          <w:rFonts w:ascii="Times New Roman" w:eastAsia="Times New Roman" w:hAnsi="Times New Roman" w:cs="Times New Roman"/>
          <w:b/>
          <w:sz w:val="18"/>
          <w:szCs w:val="18"/>
        </w:rPr>
      </w:pPr>
      <w:r>
        <w:rPr>
          <w:rFonts w:ascii="Times New Roman" w:eastAsia="Times New Roman" w:hAnsi="Times New Roman" w:cs="Times New Roman"/>
          <w:sz w:val="20"/>
          <w:szCs w:val="20"/>
        </w:rPr>
        <w:t xml:space="preserve">Linear mixed effects models were applied to the VOT and pitch results with H or R voice and voice order group as fixed effects with an interaction, and participant and prompt as random effects. </w:t>
      </w:r>
    </w:p>
    <w:p w14:paraId="1FB91A09" w14:textId="77777777" w:rsidR="00216C18" w:rsidRDefault="009C40C8">
      <w:pPr>
        <w:spacing w:after="12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114300" distB="114300" distL="114300" distR="114300" wp14:anchorId="60A2018E" wp14:editId="1405E512">
            <wp:extent cx="2277374" cy="3174521"/>
            <wp:effectExtent l="0" t="0" r="0" b="635"/>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15740" t="6111" r="14506" b="17142"/>
                    <a:stretch>
                      <a:fillRect/>
                    </a:stretch>
                  </pic:blipFill>
                  <pic:spPr>
                    <a:xfrm>
                      <a:off x="0" y="0"/>
                      <a:ext cx="2282567" cy="3181759"/>
                    </a:xfrm>
                    <a:prstGeom prst="rect">
                      <a:avLst/>
                    </a:prstGeom>
                    <a:ln/>
                  </pic:spPr>
                </pic:pic>
              </a:graphicData>
            </a:graphic>
          </wp:inline>
        </w:drawing>
      </w:r>
    </w:p>
    <w:p w14:paraId="1B287EF9" w14:textId="77777777" w:rsidR="00216C18" w:rsidRDefault="009C40C8">
      <w:pPr>
        <w:spacing w:line="240" w:lineRule="auto"/>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Figure 3: Pitch results by voice order group and response voice</w:t>
      </w:r>
    </w:p>
    <w:p w14:paraId="7B9BD6AB" w14:textId="77777777" w:rsidR="00216C18" w:rsidRDefault="00216C18">
      <w:pPr>
        <w:spacing w:line="240" w:lineRule="auto"/>
        <w:jc w:val="both"/>
        <w:rPr>
          <w:rFonts w:ascii="Times New Roman" w:eastAsia="Times New Roman" w:hAnsi="Times New Roman" w:cs="Times New Roman"/>
          <w:b/>
          <w:sz w:val="16"/>
          <w:szCs w:val="16"/>
        </w:rPr>
      </w:pPr>
    </w:p>
    <w:p w14:paraId="764EDDF0" w14:textId="0B33D97B" w:rsidR="00216C18" w:rsidRDefault="009C40C8" w:rsidP="00F05AD7">
      <w:pPr>
        <w:spacing w:line="240" w:lineRule="auto"/>
        <w:ind w:firstLine="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It should be noted that speakers demonstrate a wider range of pitch variation in the pre</w:t>
      </w:r>
      <w:r w:rsidR="00671875">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test speech compared with the post-test (H, R) speech. None were found to be significant. In other words, there is no difference in either VOT values (Figure 2) or pitch (mean, median, variation) (Figure 3) between pre-test and post-test responses by the </w:t>
      </w:r>
      <w:r>
        <w:rPr>
          <w:rFonts w:ascii="Times New Roman" w:eastAsia="Times New Roman" w:hAnsi="Times New Roman" w:cs="Times New Roman"/>
          <w:sz w:val="20"/>
          <w:szCs w:val="20"/>
        </w:rPr>
        <w:t>speakers nor between the speakers’ responses to the two voice types (H, R).</w:t>
      </w:r>
    </w:p>
    <w:p w14:paraId="4AA527BD" w14:textId="4EDB8BB2" w:rsidR="00216C18" w:rsidRDefault="009C40C8">
      <w:pPr>
        <w:spacing w:after="120" w:line="240" w:lineRule="auto"/>
        <w:ind w:firstLine="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Furthermore, visual inspection of the individual speaker results suggest that while at a group level there were no significant differences, at an individual level, there </w:t>
      </w:r>
      <w:r w:rsidR="003123BE">
        <w:rPr>
          <w:rFonts w:ascii="Times New Roman" w:eastAsia="Times New Roman" w:hAnsi="Times New Roman" w:cs="Times New Roman"/>
          <w:sz w:val="20"/>
          <w:szCs w:val="20"/>
        </w:rPr>
        <w:t>are</w:t>
      </w:r>
      <w:r>
        <w:rPr>
          <w:rFonts w:ascii="Times New Roman" w:eastAsia="Times New Roman" w:hAnsi="Times New Roman" w:cs="Times New Roman"/>
          <w:sz w:val="20"/>
          <w:szCs w:val="20"/>
        </w:rPr>
        <w:t xml:space="preserve"> some speakers who are accommodating to the VUI voices. </w:t>
      </w:r>
    </w:p>
    <w:p w14:paraId="3CF258B3" w14:textId="77777777" w:rsidR="00216C18" w:rsidRDefault="00216C18">
      <w:pPr>
        <w:spacing w:line="240" w:lineRule="auto"/>
        <w:jc w:val="both"/>
        <w:rPr>
          <w:rFonts w:ascii="Times New Roman" w:eastAsia="Times New Roman" w:hAnsi="Times New Roman" w:cs="Times New Roman"/>
          <w:sz w:val="20"/>
          <w:szCs w:val="20"/>
        </w:rPr>
      </w:pPr>
    </w:p>
    <w:p w14:paraId="3841991A" w14:textId="44512428" w:rsidR="00216C18" w:rsidRPr="00D973C7" w:rsidRDefault="00285551">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w:t>
      </w:r>
      <w:r w:rsidR="000D54F9" w:rsidRPr="000D54F9">
        <w:rPr>
          <w:rFonts w:ascii="Times New Roman" w:eastAsia="Times New Roman" w:hAnsi="Times New Roman" w:cs="Times New Roman"/>
          <w:b/>
          <w:sz w:val="24"/>
          <w:szCs w:val="24"/>
        </w:rPr>
        <w:t xml:space="preserve">    </w:t>
      </w:r>
      <w:r w:rsidR="009C40C8" w:rsidRPr="000D54F9">
        <w:rPr>
          <w:rFonts w:ascii="Times New Roman" w:eastAsia="Times New Roman" w:hAnsi="Times New Roman" w:cs="Times New Roman"/>
          <w:b/>
          <w:sz w:val="24"/>
          <w:szCs w:val="24"/>
        </w:rPr>
        <w:t xml:space="preserve"> D</w:t>
      </w:r>
      <w:r w:rsidR="009C40C8" w:rsidRPr="00D973C7">
        <w:rPr>
          <w:rFonts w:ascii="Times New Roman" w:eastAsia="Times New Roman" w:hAnsi="Times New Roman" w:cs="Times New Roman"/>
          <w:b/>
          <w:sz w:val="24"/>
          <w:szCs w:val="24"/>
        </w:rPr>
        <w:t>iscussion</w:t>
      </w:r>
    </w:p>
    <w:p w14:paraId="479B5EA0" w14:textId="578B0461" w:rsidR="00216C18" w:rsidRDefault="009C40C8">
      <w:pPr>
        <w:spacing w:line="240" w:lineRule="auto"/>
        <w:ind w:firstLine="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current findings do </w:t>
      </w:r>
      <w:r w:rsidR="00D973C7">
        <w:rPr>
          <w:rFonts w:ascii="Times New Roman" w:eastAsia="Times New Roman" w:hAnsi="Times New Roman" w:cs="Times New Roman"/>
          <w:sz w:val="20"/>
          <w:szCs w:val="20"/>
        </w:rPr>
        <w:t xml:space="preserve">not </w:t>
      </w:r>
      <w:r>
        <w:rPr>
          <w:rFonts w:ascii="Times New Roman" w:eastAsia="Times New Roman" w:hAnsi="Times New Roman" w:cs="Times New Roman"/>
          <w:sz w:val="20"/>
          <w:szCs w:val="20"/>
        </w:rPr>
        <w:t xml:space="preserve">point to a consensus on whether and how interlocutors accommodate towards VUIs. Although some participants did show some tendency for accommodation, </w:t>
      </w:r>
      <w:r w:rsidR="003123BE">
        <w:rPr>
          <w:rFonts w:ascii="Times New Roman" w:eastAsia="Times New Roman" w:hAnsi="Times New Roman" w:cs="Times New Roman"/>
          <w:sz w:val="20"/>
          <w:szCs w:val="20"/>
        </w:rPr>
        <w:t>there was not consistency in</w:t>
      </w:r>
      <w:r>
        <w:rPr>
          <w:rFonts w:ascii="Times New Roman" w:eastAsia="Times New Roman" w:hAnsi="Times New Roman" w:cs="Times New Roman"/>
          <w:sz w:val="20"/>
          <w:szCs w:val="20"/>
        </w:rPr>
        <w:t xml:space="preserve"> </w:t>
      </w:r>
      <w:r w:rsidR="00671875">
        <w:rPr>
          <w:rFonts w:ascii="Times New Roman" w:eastAsia="Times New Roman" w:hAnsi="Times New Roman" w:cs="Times New Roman"/>
          <w:sz w:val="20"/>
          <w:szCs w:val="20"/>
        </w:rPr>
        <w:t>whether speakers</w:t>
      </w:r>
      <w:r>
        <w:rPr>
          <w:rFonts w:ascii="Times New Roman" w:eastAsia="Times New Roman" w:hAnsi="Times New Roman" w:cs="Times New Roman"/>
          <w:sz w:val="20"/>
          <w:szCs w:val="20"/>
        </w:rPr>
        <w:t xml:space="preserve"> diverge</w:t>
      </w:r>
      <w:r w:rsidR="00671875">
        <w:rPr>
          <w:rFonts w:ascii="Times New Roman" w:eastAsia="Times New Roman" w:hAnsi="Times New Roman" w:cs="Times New Roman"/>
          <w:sz w:val="20"/>
          <w:szCs w:val="20"/>
        </w:rPr>
        <w:t xml:space="preserve">d or </w:t>
      </w:r>
      <w:r>
        <w:rPr>
          <w:rFonts w:ascii="Times New Roman" w:eastAsia="Times New Roman" w:hAnsi="Times New Roman" w:cs="Times New Roman"/>
          <w:sz w:val="20"/>
          <w:szCs w:val="20"/>
        </w:rPr>
        <w:t>converge</w:t>
      </w:r>
      <w:r w:rsidR="00671875">
        <w:rPr>
          <w:rFonts w:ascii="Times New Roman" w:eastAsia="Times New Roman" w:hAnsi="Times New Roman" w:cs="Times New Roman"/>
          <w:sz w:val="20"/>
          <w:szCs w:val="20"/>
        </w:rPr>
        <w:t>d</w:t>
      </w:r>
      <w:r>
        <w:rPr>
          <w:rFonts w:ascii="Times New Roman" w:eastAsia="Times New Roman" w:hAnsi="Times New Roman" w:cs="Times New Roman"/>
          <w:sz w:val="20"/>
          <w:szCs w:val="20"/>
        </w:rPr>
        <w:t xml:space="preserve">. </w:t>
      </w:r>
      <w:r w:rsidR="00671875">
        <w:rPr>
          <w:rFonts w:ascii="Times New Roman" w:eastAsia="Times New Roman" w:hAnsi="Times New Roman" w:cs="Times New Roman"/>
          <w:sz w:val="20"/>
          <w:szCs w:val="20"/>
        </w:rPr>
        <w:t xml:space="preserve">Further investigation of who these speakers are and why they accommodate is in progress. </w:t>
      </w:r>
      <w:r>
        <w:rPr>
          <w:rFonts w:ascii="Times New Roman" w:eastAsia="Times New Roman" w:hAnsi="Times New Roman" w:cs="Times New Roman"/>
          <w:sz w:val="20"/>
          <w:szCs w:val="20"/>
        </w:rPr>
        <w:t xml:space="preserve">Accommodation is in part motivated by an interlocutor’s </w:t>
      </w:r>
      <w:r w:rsidR="00D973C7">
        <w:rPr>
          <w:rFonts w:ascii="Times New Roman" w:eastAsia="Times New Roman" w:hAnsi="Times New Roman" w:cs="Times New Roman"/>
          <w:sz w:val="20"/>
          <w:szCs w:val="20"/>
        </w:rPr>
        <w:t>awareness</w:t>
      </w:r>
      <w:r>
        <w:rPr>
          <w:rFonts w:ascii="Times New Roman" w:eastAsia="Times New Roman" w:hAnsi="Times New Roman" w:cs="Times New Roman"/>
          <w:sz w:val="20"/>
          <w:szCs w:val="20"/>
        </w:rPr>
        <w:t xml:space="preserve"> </w:t>
      </w:r>
      <w:r w:rsidR="00D973C7">
        <w:rPr>
          <w:rFonts w:ascii="Times New Roman" w:eastAsia="Times New Roman" w:hAnsi="Times New Roman" w:cs="Times New Roman"/>
          <w:sz w:val="20"/>
          <w:szCs w:val="20"/>
        </w:rPr>
        <w:t>of</w:t>
      </w:r>
      <w:r>
        <w:rPr>
          <w:rFonts w:ascii="Times New Roman" w:eastAsia="Times New Roman" w:hAnsi="Times New Roman" w:cs="Times New Roman"/>
          <w:sz w:val="20"/>
          <w:szCs w:val="20"/>
        </w:rPr>
        <w:t xml:space="preserve"> social standing. Such motivation may be less likely to exist when interacting with a VUI, and may play a part in the lack of accommodation. </w:t>
      </w:r>
    </w:p>
    <w:p w14:paraId="2E89F459" w14:textId="77777777" w:rsidR="00216C18" w:rsidRDefault="00216C18">
      <w:pPr>
        <w:spacing w:line="240" w:lineRule="auto"/>
        <w:ind w:firstLine="720"/>
        <w:jc w:val="both"/>
        <w:rPr>
          <w:rFonts w:ascii="Times New Roman" w:eastAsia="Times New Roman" w:hAnsi="Times New Roman" w:cs="Times New Roman"/>
          <w:sz w:val="20"/>
          <w:szCs w:val="20"/>
        </w:rPr>
      </w:pPr>
    </w:p>
    <w:p w14:paraId="7D6FB419" w14:textId="77777777" w:rsidR="00216C18" w:rsidRDefault="009C40C8">
      <w:pPr>
        <w:spacing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Acknowledgments</w:t>
      </w:r>
    </w:p>
    <w:p w14:paraId="415D2502" w14:textId="74FCE52D" w:rsidR="00216C18" w:rsidRDefault="009C40C8">
      <w:pPr>
        <w:spacing w:line="240" w:lineRule="auto"/>
        <w:ind w:firstLine="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authors would like to thank Kristen </w:t>
      </w:r>
      <w:proofErr w:type="spellStart"/>
      <w:r>
        <w:rPr>
          <w:rFonts w:ascii="Times New Roman" w:eastAsia="Times New Roman" w:hAnsi="Times New Roman" w:cs="Times New Roman"/>
          <w:sz w:val="20"/>
          <w:szCs w:val="20"/>
        </w:rPr>
        <w:t>Eredics</w:t>
      </w:r>
      <w:proofErr w:type="spellEnd"/>
      <w:r>
        <w:rPr>
          <w:rFonts w:ascii="Times New Roman" w:eastAsia="Times New Roman" w:hAnsi="Times New Roman" w:cs="Times New Roman"/>
          <w:sz w:val="20"/>
          <w:szCs w:val="20"/>
        </w:rPr>
        <w:t xml:space="preserve"> for her contributions towards analysis. This</w:t>
      </w:r>
      <w:r w:rsidR="000D54F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work was supported by the National Institutes of Health grant number DC-002717 to Haskins Laboratories and SSHRC Insight Grant 435-2019-0426 to Bryan </w:t>
      </w:r>
      <w:proofErr w:type="spellStart"/>
      <w:r>
        <w:rPr>
          <w:rFonts w:ascii="Times New Roman" w:eastAsia="Times New Roman" w:hAnsi="Times New Roman" w:cs="Times New Roman"/>
          <w:sz w:val="20"/>
          <w:szCs w:val="20"/>
        </w:rPr>
        <w:t>Gick</w:t>
      </w:r>
      <w:proofErr w:type="spellEnd"/>
      <w:r>
        <w:rPr>
          <w:rFonts w:ascii="Times New Roman" w:eastAsia="Times New Roman" w:hAnsi="Times New Roman" w:cs="Times New Roman"/>
          <w:sz w:val="20"/>
          <w:szCs w:val="20"/>
        </w:rPr>
        <w:t>.</w:t>
      </w:r>
    </w:p>
    <w:p w14:paraId="2D61965E" w14:textId="77777777" w:rsidR="00216C18" w:rsidRDefault="00216C18">
      <w:pPr>
        <w:spacing w:line="240" w:lineRule="auto"/>
        <w:ind w:firstLine="720"/>
        <w:jc w:val="both"/>
        <w:rPr>
          <w:rFonts w:ascii="Times New Roman" w:eastAsia="Times New Roman" w:hAnsi="Times New Roman" w:cs="Times New Roman"/>
          <w:sz w:val="20"/>
          <w:szCs w:val="20"/>
        </w:rPr>
      </w:pPr>
    </w:p>
    <w:p w14:paraId="13D2696B" w14:textId="77777777" w:rsidR="00216C18" w:rsidRDefault="009C40C8">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References</w:t>
      </w:r>
    </w:p>
    <w:p w14:paraId="0A22FC79" w14:textId="77777777" w:rsidR="00216C18" w:rsidRDefault="009C40C8">
      <w:pPr>
        <w:spacing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[1] </w:t>
      </w:r>
      <w:r>
        <w:rPr>
          <w:rFonts w:ascii="Times New Roman" w:eastAsia="Times New Roman" w:hAnsi="Times New Roman" w:cs="Times New Roman"/>
          <w:sz w:val="18"/>
          <w:szCs w:val="18"/>
          <w:highlight w:val="white"/>
        </w:rPr>
        <w:t xml:space="preserve">Bell A. Language Style as Audience Design. J </w:t>
      </w:r>
      <w:r>
        <w:rPr>
          <w:rFonts w:ascii="Times New Roman" w:eastAsia="Times New Roman" w:hAnsi="Times New Roman" w:cs="Times New Roman"/>
          <w:sz w:val="18"/>
          <w:szCs w:val="18"/>
        </w:rPr>
        <w:t xml:space="preserve">Language in Society. </w:t>
      </w:r>
      <w:r>
        <w:rPr>
          <w:rFonts w:ascii="Times New Roman" w:eastAsia="Times New Roman" w:hAnsi="Times New Roman" w:cs="Times New Roman"/>
          <w:sz w:val="18"/>
          <w:szCs w:val="18"/>
          <w:highlight w:val="white"/>
        </w:rPr>
        <w:t>1984 Jun [cited 2021 Aug 11];</w:t>
      </w:r>
      <w:r>
        <w:rPr>
          <w:rFonts w:ascii="Times New Roman" w:eastAsia="Times New Roman" w:hAnsi="Times New Roman" w:cs="Times New Roman"/>
          <w:sz w:val="18"/>
          <w:szCs w:val="18"/>
        </w:rPr>
        <w:t xml:space="preserve">13(2):145-204. Available from: </w:t>
      </w:r>
      <w:hyperlink r:id="rId8">
        <w:r>
          <w:rPr>
            <w:rFonts w:ascii="Times New Roman" w:eastAsia="Times New Roman" w:hAnsi="Times New Roman" w:cs="Times New Roman"/>
            <w:sz w:val="18"/>
            <w:szCs w:val="18"/>
          </w:rPr>
          <w:t>https://doi.org/10.1017/S004740450001037X</w:t>
        </w:r>
      </w:hyperlink>
    </w:p>
    <w:p w14:paraId="7B3C762F" w14:textId="47B8C1B3" w:rsidR="00216C18" w:rsidRDefault="009C40C8">
      <w:pPr>
        <w:spacing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[2] Lindblom B. Explaining phonetic variation: A sketch of the H&amp;H theory. In: </w:t>
      </w:r>
      <w:r>
        <w:rPr>
          <w:rFonts w:ascii="Times New Roman" w:eastAsia="Times New Roman" w:hAnsi="Times New Roman" w:cs="Times New Roman"/>
          <w:color w:val="333333"/>
          <w:sz w:val="18"/>
          <w:szCs w:val="18"/>
        </w:rPr>
        <w:t xml:space="preserve">Hardcastle W, </w:t>
      </w:r>
      <w:proofErr w:type="spellStart"/>
      <w:r>
        <w:rPr>
          <w:rFonts w:ascii="Times New Roman" w:eastAsia="Times New Roman" w:hAnsi="Times New Roman" w:cs="Times New Roman"/>
          <w:color w:val="333333"/>
          <w:sz w:val="18"/>
          <w:szCs w:val="18"/>
        </w:rPr>
        <w:t>Marchal</w:t>
      </w:r>
      <w:proofErr w:type="spellEnd"/>
      <w:r>
        <w:rPr>
          <w:rFonts w:ascii="Times New Roman" w:eastAsia="Times New Roman" w:hAnsi="Times New Roman" w:cs="Times New Roman"/>
          <w:color w:val="333333"/>
          <w:sz w:val="18"/>
          <w:szCs w:val="18"/>
        </w:rPr>
        <w:t xml:space="preserve"> A, editors. </w:t>
      </w:r>
      <w:r>
        <w:rPr>
          <w:rFonts w:ascii="Times New Roman" w:eastAsia="Times New Roman" w:hAnsi="Times New Roman" w:cs="Times New Roman"/>
          <w:sz w:val="18"/>
          <w:szCs w:val="18"/>
        </w:rPr>
        <w:t>Speech Production and Speech Modeling. Springer Netherlands; c1990. p.</w:t>
      </w:r>
      <w:r w:rsidR="000D54F9">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403–439.</w:t>
      </w:r>
    </w:p>
    <w:p w14:paraId="598EED2C" w14:textId="77777777" w:rsidR="00216C18" w:rsidRDefault="009C40C8">
      <w:pPr>
        <w:spacing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[3] Asano Y, </w:t>
      </w:r>
      <w:proofErr w:type="spellStart"/>
      <w:r>
        <w:rPr>
          <w:rFonts w:ascii="Times New Roman" w:eastAsia="Times New Roman" w:hAnsi="Times New Roman" w:cs="Times New Roman"/>
          <w:sz w:val="18"/>
          <w:szCs w:val="18"/>
        </w:rPr>
        <w:t>Gubian</w:t>
      </w:r>
      <w:proofErr w:type="spellEnd"/>
      <w:r>
        <w:rPr>
          <w:rFonts w:ascii="Times New Roman" w:eastAsia="Times New Roman" w:hAnsi="Times New Roman" w:cs="Times New Roman"/>
          <w:sz w:val="18"/>
          <w:szCs w:val="18"/>
        </w:rPr>
        <w:t xml:space="preserve"> M. “Excuse </w:t>
      </w:r>
      <w:proofErr w:type="spellStart"/>
      <w:r>
        <w:rPr>
          <w:rFonts w:ascii="Times New Roman" w:eastAsia="Times New Roman" w:hAnsi="Times New Roman" w:cs="Times New Roman"/>
          <w:sz w:val="18"/>
          <w:szCs w:val="18"/>
        </w:rPr>
        <w:t>meeee</w:t>
      </w:r>
      <w:proofErr w:type="spellEnd"/>
      <w:r>
        <w:rPr>
          <w:rFonts w:ascii="Times New Roman" w:eastAsia="Times New Roman" w:hAnsi="Times New Roman" w:cs="Times New Roman"/>
          <w:sz w:val="18"/>
          <w:szCs w:val="18"/>
        </w:rPr>
        <w:t xml:space="preserve">!!”: (Mis)coordination of lexical and paralinguistic prosody in L2 </w:t>
      </w:r>
      <w:proofErr w:type="spellStart"/>
      <w:r>
        <w:rPr>
          <w:rFonts w:ascii="Times New Roman" w:eastAsia="Times New Roman" w:hAnsi="Times New Roman" w:cs="Times New Roman"/>
          <w:sz w:val="18"/>
          <w:szCs w:val="18"/>
        </w:rPr>
        <w:t>hyperarticulation</w:t>
      </w:r>
      <w:proofErr w:type="spellEnd"/>
      <w:r>
        <w:rPr>
          <w:rFonts w:ascii="Times New Roman" w:eastAsia="Times New Roman" w:hAnsi="Times New Roman" w:cs="Times New Roman"/>
          <w:sz w:val="18"/>
          <w:szCs w:val="18"/>
        </w:rPr>
        <w:t xml:space="preserve">. J Speech Communication [Internet]. 2018 May [cited 2021 Aug 11];99:183–200. Available from: </w:t>
      </w:r>
      <w:hyperlink r:id="rId9">
        <w:r>
          <w:rPr>
            <w:rFonts w:ascii="Times New Roman" w:eastAsia="Times New Roman" w:hAnsi="Times New Roman" w:cs="Times New Roman"/>
            <w:sz w:val="18"/>
            <w:szCs w:val="18"/>
          </w:rPr>
          <w:t>https://doi.org/10.1016/j.specom.2017.12.011</w:t>
        </w:r>
      </w:hyperlink>
    </w:p>
    <w:p w14:paraId="5B2D93D0" w14:textId="77777777" w:rsidR="00216C18" w:rsidRDefault="009C40C8">
      <w:pPr>
        <w:spacing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[4] Babel M, </w:t>
      </w:r>
      <w:proofErr w:type="spellStart"/>
      <w:r>
        <w:rPr>
          <w:rFonts w:ascii="Times New Roman" w:eastAsia="Times New Roman" w:hAnsi="Times New Roman" w:cs="Times New Roman"/>
          <w:sz w:val="18"/>
          <w:szCs w:val="18"/>
        </w:rPr>
        <w:t>Bulatov</w:t>
      </w:r>
      <w:proofErr w:type="spellEnd"/>
      <w:r>
        <w:rPr>
          <w:rFonts w:ascii="Times New Roman" w:eastAsia="Times New Roman" w:hAnsi="Times New Roman" w:cs="Times New Roman"/>
          <w:sz w:val="18"/>
          <w:szCs w:val="18"/>
        </w:rPr>
        <w:t xml:space="preserve"> D. The role of fundamental frequency in phonetic accommodation. J Language and Speech. 2011 Sep [cited 2021 Aug 11];55(2):231-248. Available from: </w:t>
      </w:r>
      <w:hyperlink r:id="rId10">
        <w:r>
          <w:rPr>
            <w:rFonts w:ascii="Times New Roman" w:eastAsia="Times New Roman" w:hAnsi="Times New Roman" w:cs="Times New Roman"/>
            <w:sz w:val="18"/>
            <w:szCs w:val="18"/>
          </w:rPr>
          <w:t>https://doi.org/10.1177/0023830911417695</w:t>
        </w:r>
      </w:hyperlink>
    </w:p>
    <w:p w14:paraId="7E8C82CD" w14:textId="77777777" w:rsidR="00216C18" w:rsidRDefault="009C40C8">
      <w:pPr>
        <w:spacing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[5] Oviatt S, </w:t>
      </w:r>
      <w:proofErr w:type="spellStart"/>
      <w:r>
        <w:rPr>
          <w:rFonts w:ascii="Times New Roman" w:eastAsia="Times New Roman" w:hAnsi="Times New Roman" w:cs="Times New Roman"/>
          <w:sz w:val="18"/>
          <w:szCs w:val="18"/>
        </w:rPr>
        <w:t>Maceachern</w:t>
      </w:r>
      <w:proofErr w:type="spellEnd"/>
      <w:r>
        <w:rPr>
          <w:rFonts w:ascii="Times New Roman" w:eastAsia="Times New Roman" w:hAnsi="Times New Roman" w:cs="Times New Roman"/>
          <w:sz w:val="18"/>
          <w:szCs w:val="18"/>
        </w:rPr>
        <w:t xml:space="preserve"> M, </w:t>
      </w:r>
      <w:proofErr w:type="spellStart"/>
      <w:r>
        <w:rPr>
          <w:rFonts w:ascii="Times New Roman" w:eastAsia="Times New Roman" w:hAnsi="Times New Roman" w:cs="Times New Roman"/>
          <w:sz w:val="18"/>
          <w:szCs w:val="18"/>
        </w:rPr>
        <w:t>Levow</w:t>
      </w:r>
      <w:proofErr w:type="spellEnd"/>
      <w:r>
        <w:rPr>
          <w:rFonts w:ascii="Times New Roman" w:eastAsia="Times New Roman" w:hAnsi="Times New Roman" w:cs="Times New Roman"/>
          <w:sz w:val="18"/>
          <w:szCs w:val="18"/>
        </w:rPr>
        <w:t xml:space="preserve"> GA. Predicting hyperarticulate speech during human-computer error resolution. J Speech Communication. 1998 May [cited 2021 Aug 11]; 24:87-110. Available from: </w:t>
      </w:r>
      <w:hyperlink r:id="rId11">
        <w:r>
          <w:rPr>
            <w:rFonts w:ascii="Times New Roman" w:eastAsia="Times New Roman" w:hAnsi="Times New Roman" w:cs="Times New Roman"/>
            <w:sz w:val="18"/>
            <w:szCs w:val="18"/>
          </w:rPr>
          <w:t>https://doi.org/10.1016/S0167-6393(98)00005-3</w:t>
        </w:r>
      </w:hyperlink>
    </w:p>
    <w:p w14:paraId="6F82F66B" w14:textId="77777777" w:rsidR="00216C18" w:rsidRDefault="009C40C8">
      <w:pPr>
        <w:spacing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[6] Amazon Web Services. Amazon Polly. 2019. Retrieved from </w:t>
      </w:r>
      <w:hyperlink r:id="rId12">
        <w:r>
          <w:rPr>
            <w:rFonts w:ascii="Times New Roman" w:eastAsia="Times New Roman" w:hAnsi="Times New Roman" w:cs="Times New Roman"/>
            <w:sz w:val="18"/>
            <w:szCs w:val="18"/>
          </w:rPr>
          <w:t>https://aws.amazon.com/polly/</w:t>
        </w:r>
      </w:hyperlink>
    </w:p>
    <w:p w14:paraId="0E346222" w14:textId="1227B5C3" w:rsidR="00216C18" w:rsidRDefault="009C40C8">
      <w:pPr>
        <w:spacing w:line="240" w:lineRule="auto"/>
        <w:jc w:val="both"/>
        <w:rPr>
          <w:rFonts w:ascii="Times New Roman" w:eastAsia="Times New Roman" w:hAnsi="Times New Roman" w:cs="Times New Roman"/>
          <w:sz w:val="18"/>
          <w:szCs w:val="18"/>
          <w:shd w:val="clear" w:color="auto" w:fill="FCFCFC"/>
        </w:rPr>
      </w:pPr>
      <w:r>
        <w:rPr>
          <w:rFonts w:ascii="Times New Roman" w:eastAsia="Times New Roman" w:hAnsi="Times New Roman" w:cs="Times New Roman"/>
          <w:sz w:val="18"/>
          <w:szCs w:val="18"/>
        </w:rPr>
        <w:t xml:space="preserve">[7] </w:t>
      </w:r>
      <w:r>
        <w:rPr>
          <w:rFonts w:ascii="Times New Roman" w:eastAsia="Times New Roman" w:hAnsi="Times New Roman" w:cs="Times New Roman"/>
          <w:sz w:val="18"/>
          <w:szCs w:val="18"/>
          <w:shd w:val="clear" w:color="auto" w:fill="FCFCFC"/>
        </w:rPr>
        <w:t xml:space="preserve">McAuliffe M, </w:t>
      </w:r>
      <w:proofErr w:type="spellStart"/>
      <w:r>
        <w:rPr>
          <w:rFonts w:ascii="Times New Roman" w:eastAsia="Times New Roman" w:hAnsi="Times New Roman" w:cs="Times New Roman"/>
          <w:sz w:val="18"/>
          <w:szCs w:val="18"/>
          <w:shd w:val="clear" w:color="auto" w:fill="FCFCFC"/>
        </w:rPr>
        <w:t>Socolof</w:t>
      </w:r>
      <w:proofErr w:type="spellEnd"/>
      <w:r>
        <w:rPr>
          <w:rFonts w:ascii="Times New Roman" w:eastAsia="Times New Roman" w:hAnsi="Times New Roman" w:cs="Times New Roman"/>
          <w:sz w:val="18"/>
          <w:szCs w:val="18"/>
          <w:shd w:val="clear" w:color="auto" w:fill="FCFCFC"/>
        </w:rPr>
        <w:t xml:space="preserve"> M, </w:t>
      </w:r>
      <w:proofErr w:type="spellStart"/>
      <w:r>
        <w:rPr>
          <w:rFonts w:ascii="Times New Roman" w:eastAsia="Times New Roman" w:hAnsi="Times New Roman" w:cs="Times New Roman"/>
          <w:sz w:val="18"/>
          <w:szCs w:val="18"/>
          <w:shd w:val="clear" w:color="auto" w:fill="FCFCFC"/>
        </w:rPr>
        <w:t>Mihu</w:t>
      </w:r>
      <w:proofErr w:type="spellEnd"/>
      <w:r>
        <w:rPr>
          <w:rFonts w:ascii="Times New Roman" w:eastAsia="Times New Roman" w:hAnsi="Times New Roman" w:cs="Times New Roman"/>
          <w:sz w:val="18"/>
          <w:szCs w:val="18"/>
          <w:shd w:val="clear" w:color="auto" w:fill="FCFCFC"/>
        </w:rPr>
        <w:t>, S, Wagner M,</w:t>
      </w:r>
      <w:r w:rsidR="000D54F9">
        <w:rPr>
          <w:rFonts w:ascii="Times New Roman" w:eastAsia="Times New Roman" w:hAnsi="Times New Roman" w:cs="Times New Roman"/>
          <w:sz w:val="18"/>
          <w:szCs w:val="18"/>
          <w:shd w:val="clear" w:color="auto" w:fill="FCFCFC"/>
        </w:rPr>
        <w:t xml:space="preserve"> </w:t>
      </w:r>
      <w:proofErr w:type="spellStart"/>
      <w:r>
        <w:rPr>
          <w:rFonts w:ascii="Times New Roman" w:eastAsia="Times New Roman" w:hAnsi="Times New Roman" w:cs="Times New Roman"/>
          <w:sz w:val="18"/>
          <w:szCs w:val="18"/>
          <w:shd w:val="clear" w:color="auto" w:fill="FCFCFC"/>
        </w:rPr>
        <w:t>Sonderegger</w:t>
      </w:r>
      <w:proofErr w:type="spellEnd"/>
      <w:r>
        <w:rPr>
          <w:rFonts w:ascii="Times New Roman" w:eastAsia="Times New Roman" w:hAnsi="Times New Roman" w:cs="Times New Roman"/>
          <w:sz w:val="18"/>
          <w:szCs w:val="18"/>
          <w:shd w:val="clear" w:color="auto" w:fill="FCFCFC"/>
        </w:rPr>
        <w:t xml:space="preserve"> M. Montreal Forced Aligner: trainable text-speech alignment using Kaldi. Proceedings of the 18th Conference of the International Speech Communication Association. 2017.</w:t>
      </w:r>
    </w:p>
    <w:p w14:paraId="0AA55E30" w14:textId="77777777" w:rsidR="00216C18" w:rsidRDefault="009C40C8">
      <w:pPr>
        <w:spacing w:line="240" w:lineRule="auto"/>
        <w:jc w:val="both"/>
        <w:rPr>
          <w:rFonts w:ascii="Times New Roman" w:eastAsia="Times New Roman" w:hAnsi="Times New Roman" w:cs="Times New Roman"/>
          <w:sz w:val="18"/>
          <w:szCs w:val="18"/>
          <w:shd w:val="clear" w:color="auto" w:fill="FCFCFC"/>
        </w:rPr>
      </w:pPr>
      <w:r>
        <w:rPr>
          <w:rFonts w:ascii="Times New Roman" w:eastAsia="Times New Roman" w:hAnsi="Times New Roman" w:cs="Times New Roman"/>
          <w:sz w:val="18"/>
          <w:szCs w:val="18"/>
          <w:shd w:val="clear" w:color="auto" w:fill="FCFCFC"/>
        </w:rPr>
        <w:t xml:space="preserve">[8] Mertens P. </w:t>
      </w:r>
      <w:proofErr w:type="spellStart"/>
      <w:r>
        <w:rPr>
          <w:rFonts w:ascii="Times New Roman" w:eastAsia="Times New Roman" w:hAnsi="Times New Roman" w:cs="Times New Roman"/>
          <w:sz w:val="18"/>
          <w:szCs w:val="18"/>
          <w:shd w:val="clear" w:color="auto" w:fill="FCFCFC"/>
        </w:rPr>
        <w:t>Polytonia</w:t>
      </w:r>
      <w:proofErr w:type="spellEnd"/>
      <w:r>
        <w:rPr>
          <w:rFonts w:ascii="Times New Roman" w:eastAsia="Times New Roman" w:hAnsi="Times New Roman" w:cs="Times New Roman"/>
          <w:sz w:val="18"/>
          <w:szCs w:val="18"/>
          <w:shd w:val="clear" w:color="auto" w:fill="FCFCFC"/>
        </w:rPr>
        <w:t>: a system for the automatic transcription of tonal aspects in speech corpora. J Speech Sciences. 2014 Jan;4 (2):17-57.</w:t>
      </w:r>
    </w:p>
    <w:sectPr w:rsidR="00216C18">
      <w:type w:val="continuous"/>
      <w:pgSz w:w="12240" w:h="15840"/>
      <w:pgMar w:top="1440" w:right="1440" w:bottom="1440" w:left="1440" w:header="720" w:footer="720" w:gutter="0"/>
      <w:cols w:num="2" w:space="720" w:equalWidth="0">
        <w:col w:w="4860" w:space="360"/>
        <w:col w:w="4860"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4B592C"/>
    <w:multiLevelType w:val="multilevel"/>
    <w:tmpl w:val="80F6EFC8"/>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3"/>
      <w:lvlJc w:val="left"/>
      <w:pPr>
        <w:ind w:left="0" w:firstLine="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C18"/>
    <w:rsid w:val="00002FC5"/>
    <w:rsid w:val="000D54F9"/>
    <w:rsid w:val="00216C18"/>
    <w:rsid w:val="00285551"/>
    <w:rsid w:val="003123BE"/>
    <w:rsid w:val="00671875"/>
    <w:rsid w:val="009C40C8"/>
    <w:rsid w:val="00CF0CF6"/>
    <w:rsid w:val="00D973C7"/>
    <w:rsid w:val="00EB14B9"/>
    <w:rsid w:val="00F05AD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8ECCE1D"/>
  <w15:docId w15:val="{239D181A-B09A-264F-9DB0-D09092C35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doi.org/10.1017/S004740450001037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aws.amazon.com/poll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016/S0167-6393(98)00005-3" TargetMode="External"/><Relationship Id="rId5" Type="http://schemas.openxmlformats.org/officeDocument/2006/relationships/image" Target="media/image1.png"/><Relationship Id="rId10" Type="http://schemas.openxmlformats.org/officeDocument/2006/relationships/hyperlink" Target="https://doi.org/10.1177/0023830911417695" TargetMode="External"/><Relationship Id="rId4" Type="http://schemas.openxmlformats.org/officeDocument/2006/relationships/webSettings" Target="webSettings.xml"/><Relationship Id="rId9" Type="http://schemas.openxmlformats.org/officeDocument/2006/relationships/hyperlink" Target="https://doi.org/10.1016/j.specom.2017.12.01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1198</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gpurnomo@student.ubc.ca</cp:lastModifiedBy>
  <cp:revision>4</cp:revision>
  <cp:lastPrinted>2021-08-16T02:12:00Z</cp:lastPrinted>
  <dcterms:created xsi:type="dcterms:W3CDTF">2021-08-16T02:12:00Z</dcterms:created>
  <dcterms:modified xsi:type="dcterms:W3CDTF">2021-08-16T02:15:00Z</dcterms:modified>
</cp:coreProperties>
</file>